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DA34A" w14:textId="614742C5" w:rsidR="00F2440B" w:rsidRDefault="00F2440B" w:rsidP="00A35455">
      <w:pPr>
        <w:pStyle w:val="Nzev"/>
        <w:rPr>
          <w:sz w:val="24"/>
          <w:szCs w:val="24"/>
        </w:rPr>
      </w:pPr>
    </w:p>
    <w:p w14:paraId="1C6F8912" w14:textId="627873E0" w:rsidR="00735463" w:rsidRPr="0041239C" w:rsidRDefault="00735463" w:rsidP="00D17D88">
      <w:pPr>
        <w:rPr>
          <w:b/>
          <w:sz w:val="22"/>
          <w:szCs w:val="22"/>
        </w:rPr>
      </w:pPr>
      <w:r w:rsidRPr="0041239C">
        <w:rPr>
          <w:sz w:val="22"/>
          <w:szCs w:val="22"/>
        </w:rPr>
        <w:t xml:space="preserve">Smlouva o dílo: </w:t>
      </w:r>
      <w:r w:rsidRPr="0041239C">
        <w:rPr>
          <w:sz w:val="22"/>
          <w:szCs w:val="22"/>
        </w:rPr>
        <w:tab/>
      </w:r>
      <w:r w:rsidR="00D17D88">
        <w:rPr>
          <w:sz w:val="22"/>
          <w:szCs w:val="22"/>
        </w:rPr>
        <w:tab/>
      </w:r>
      <w:r w:rsidRPr="0041239C">
        <w:rPr>
          <w:rStyle w:val="datalabel"/>
          <w:b/>
          <w:sz w:val="22"/>
          <w:szCs w:val="22"/>
        </w:rPr>
        <w:t xml:space="preserve">„PD </w:t>
      </w:r>
      <w:r w:rsidR="00781BC2" w:rsidRPr="0041239C">
        <w:rPr>
          <w:rStyle w:val="datalabel"/>
          <w:b/>
          <w:sz w:val="22"/>
          <w:szCs w:val="22"/>
        </w:rPr>
        <w:t xml:space="preserve">Měnírna </w:t>
      </w:r>
      <w:r w:rsidR="00B32A47" w:rsidRPr="0041239C">
        <w:rPr>
          <w:rStyle w:val="datalabel"/>
          <w:b/>
          <w:sz w:val="22"/>
          <w:szCs w:val="22"/>
        </w:rPr>
        <w:t>H</w:t>
      </w:r>
      <w:r w:rsidR="00C30D4C" w:rsidRPr="0041239C">
        <w:rPr>
          <w:rStyle w:val="datalabel"/>
          <w:b/>
          <w:sz w:val="22"/>
          <w:szCs w:val="22"/>
        </w:rPr>
        <w:t>rušov</w:t>
      </w:r>
      <w:r w:rsidRPr="0041239C">
        <w:rPr>
          <w:rStyle w:val="datalabel"/>
          <w:b/>
          <w:sz w:val="22"/>
          <w:szCs w:val="22"/>
        </w:rPr>
        <w:t>“</w:t>
      </w:r>
    </w:p>
    <w:p w14:paraId="7DEA34D4" w14:textId="77777777" w:rsidR="00735463" w:rsidRPr="0041239C" w:rsidRDefault="00735463" w:rsidP="00735463">
      <w:pPr>
        <w:rPr>
          <w:szCs w:val="22"/>
        </w:rPr>
      </w:pPr>
    </w:p>
    <w:p w14:paraId="1CF99930" w14:textId="77777777" w:rsidR="00735463" w:rsidRPr="0041239C" w:rsidRDefault="00735463" w:rsidP="00735463">
      <w:pPr>
        <w:rPr>
          <w:sz w:val="22"/>
          <w:szCs w:val="22"/>
        </w:rPr>
      </w:pPr>
      <w:r w:rsidRPr="0041239C">
        <w:rPr>
          <w:sz w:val="22"/>
          <w:szCs w:val="22"/>
        </w:rPr>
        <w:t xml:space="preserve">Číslo smlouvy objednatele: </w:t>
      </w:r>
      <w:r w:rsidRPr="0041239C">
        <w:rPr>
          <w:sz w:val="22"/>
          <w:szCs w:val="22"/>
        </w:rPr>
        <w:tab/>
      </w:r>
      <w:r w:rsidRPr="0041239C">
        <w:rPr>
          <w:i/>
          <w:color w:val="00B0F0"/>
          <w:sz w:val="22"/>
          <w:szCs w:val="22"/>
        </w:rPr>
        <w:t>(POZN. Doplní objednatel)</w:t>
      </w:r>
    </w:p>
    <w:p w14:paraId="4C02A48D" w14:textId="2E7676C5" w:rsidR="00735463" w:rsidRPr="0041239C" w:rsidRDefault="00735463" w:rsidP="00276AE5">
      <w:pPr>
        <w:pStyle w:val="Nzev"/>
        <w:jc w:val="both"/>
        <w:rPr>
          <w:b w:val="0"/>
          <w:sz w:val="22"/>
          <w:szCs w:val="22"/>
        </w:rPr>
      </w:pPr>
      <w:r w:rsidRPr="0041239C">
        <w:rPr>
          <w:b w:val="0"/>
          <w:sz w:val="22"/>
          <w:szCs w:val="22"/>
        </w:rPr>
        <w:t xml:space="preserve">Číslo smlouvy zhotovitele: </w:t>
      </w:r>
      <w:r w:rsidRPr="0041239C">
        <w:rPr>
          <w:b w:val="0"/>
          <w:sz w:val="22"/>
          <w:szCs w:val="22"/>
        </w:rPr>
        <w:tab/>
      </w:r>
      <w:r w:rsidRPr="0041239C">
        <w:rPr>
          <w:b w:val="0"/>
          <w:i/>
          <w:color w:val="00B0F0"/>
          <w:sz w:val="22"/>
          <w:szCs w:val="22"/>
        </w:rPr>
        <w:t>(POZN. Doplní uchazeč, poté poznámku vymažte)</w:t>
      </w:r>
    </w:p>
    <w:p w14:paraId="371544A8" w14:textId="05990F8F" w:rsidR="00735463" w:rsidRPr="0041239C" w:rsidRDefault="00735463" w:rsidP="00735463">
      <w:pPr>
        <w:pStyle w:val="Nadpis1"/>
        <w:keepNext w:val="0"/>
        <w:numPr>
          <w:ilvl w:val="0"/>
          <w:numId w:val="7"/>
        </w:numPr>
        <w:spacing w:before="720" w:after="480" w:line="216" w:lineRule="auto"/>
        <w:ind w:left="284" w:hanging="284"/>
        <w:jc w:val="left"/>
        <w:rPr>
          <w:rFonts w:ascii="Arial Black" w:hAnsi="Arial Black"/>
          <w:b/>
          <w:i w:val="0"/>
        </w:rPr>
      </w:pPr>
      <w:r w:rsidRPr="0041239C">
        <w:rPr>
          <w:rFonts w:ascii="Arial Black" w:hAnsi="Arial Black"/>
          <w:b/>
          <w:i w:val="0"/>
        </w:rPr>
        <w:t xml:space="preserve">Příloha č. 1 </w:t>
      </w:r>
      <w:proofErr w:type="spellStart"/>
      <w:r w:rsidRPr="0041239C">
        <w:rPr>
          <w:rFonts w:ascii="Arial Black" w:hAnsi="Arial Black"/>
          <w:b/>
          <w:i w:val="0"/>
        </w:rPr>
        <w:t>SoD</w:t>
      </w:r>
      <w:proofErr w:type="spellEnd"/>
      <w:r w:rsidRPr="0041239C">
        <w:rPr>
          <w:rFonts w:ascii="Arial Black" w:hAnsi="Arial Black"/>
          <w:b/>
          <w:i w:val="0"/>
        </w:rPr>
        <w:t xml:space="preserve"> – Technické požadavky na rozsah předmětu díla </w:t>
      </w:r>
    </w:p>
    <w:p w14:paraId="4B7E2E2B" w14:textId="77777777" w:rsidR="00CA1A62" w:rsidRPr="0041239C" w:rsidRDefault="00CA1A62" w:rsidP="00CA1A62">
      <w:pPr>
        <w:pStyle w:val="Odstavecseseznamem"/>
        <w:numPr>
          <w:ilvl w:val="0"/>
          <w:numId w:val="2"/>
        </w:numPr>
        <w:ind w:left="709" w:hanging="283"/>
        <w:contextualSpacing w:val="0"/>
        <w:rPr>
          <w:sz w:val="22"/>
          <w:szCs w:val="22"/>
        </w:rPr>
      </w:pPr>
      <w:r w:rsidRPr="0041239C">
        <w:rPr>
          <w:sz w:val="22"/>
          <w:szCs w:val="22"/>
        </w:rPr>
        <w:t>Technické údaje a napěťové soustavy stávající měnírny</w:t>
      </w:r>
    </w:p>
    <w:p w14:paraId="42BE09B4" w14:textId="77777777" w:rsidR="00CA1A62" w:rsidRPr="0041239C" w:rsidRDefault="00CA1A62" w:rsidP="00CA1A62">
      <w:pPr>
        <w:pStyle w:val="Seznamsodrkami"/>
        <w:numPr>
          <w:ilvl w:val="0"/>
          <w:numId w:val="5"/>
        </w:numPr>
        <w:tabs>
          <w:tab w:val="left" w:pos="4962"/>
        </w:tabs>
        <w:rPr>
          <w:sz w:val="22"/>
          <w:szCs w:val="22"/>
        </w:rPr>
      </w:pPr>
      <w:r w:rsidRPr="0041239C">
        <w:rPr>
          <w:sz w:val="22"/>
          <w:szCs w:val="22"/>
        </w:rPr>
        <w:t xml:space="preserve">předpokládaná životnost technologie </w:t>
      </w:r>
      <w:r w:rsidRPr="0041239C">
        <w:rPr>
          <w:sz w:val="22"/>
          <w:szCs w:val="22"/>
        </w:rPr>
        <w:tab/>
        <w:t>30 let</w:t>
      </w:r>
    </w:p>
    <w:p w14:paraId="0F870F51" w14:textId="77777777" w:rsidR="00CA1A62" w:rsidRPr="0041239C" w:rsidRDefault="00CA1A62" w:rsidP="00CA1A62">
      <w:pPr>
        <w:pStyle w:val="Seznamsodrkami"/>
        <w:numPr>
          <w:ilvl w:val="0"/>
          <w:numId w:val="5"/>
        </w:numPr>
        <w:tabs>
          <w:tab w:val="left" w:pos="4962"/>
        </w:tabs>
        <w:rPr>
          <w:sz w:val="22"/>
          <w:szCs w:val="22"/>
        </w:rPr>
      </w:pPr>
      <w:r w:rsidRPr="0041239C">
        <w:rPr>
          <w:sz w:val="22"/>
          <w:szCs w:val="22"/>
        </w:rPr>
        <w:t>počet trakčních transformátorů</w:t>
      </w:r>
      <w:r w:rsidRPr="0041239C">
        <w:rPr>
          <w:sz w:val="22"/>
          <w:szCs w:val="22"/>
        </w:rPr>
        <w:tab/>
        <w:t>3 ks</w:t>
      </w:r>
    </w:p>
    <w:p w14:paraId="4B63507F" w14:textId="77777777" w:rsidR="00CA1A62" w:rsidRPr="0041239C" w:rsidRDefault="00CA1A62" w:rsidP="00CA1A62">
      <w:pPr>
        <w:pStyle w:val="Seznamsodrkami"/>
        <w:numPr>
          <w:ilvl w:val="0"/>
          <w:numId w:val="5"/>
        </w:numPr>
        <w:tabs>
          <w:tab w:val="left" w:pos="4962"/>
        </w:tabs>
        <w:rPr>
          <w:sz w:val="22"/>
          <w:szCs w:val="22"/>
        </w:rPr>
      </w:pPr>
      <w:r w:rsidRPr="0041239C">
        <w:rPr>
          <w:sz w:val="22"/>
          <w:szCs w:val="22"/>
        </w:rPr>
        <w:t>trakční transformátor</w:t>
      </w:r>
      <w:r w:rsidRPr="0041239C">
        <w:rPr>
          <w:sz w:val="22"/>
          <w:szCs w:val="22"/>
        </w:rPr>
        <w:tab/>
        <w:t xml:space="preserve">630 </w:t>
      </w:r>
      <w:proofErr w:type="spellStart"/>
      <w:r w:rsidRPr="0041239C">
        <w:rPr>
          <w:sz w:val="22"/>
          <w:szCs w:val="22"/>
        </w:rPr>
        <w:t>kVA</w:t>
      </w:r>
      <w:proofErr w:type="spellEnd"/>
    </w:p>
    <w:p w14:paraId="3C13E936" w14:textId="77777777" w:rsidR="00CA1A62" w:rsidRPr="0041239C" w:rsidRDefault="00CA1A62" w:rsidP="00CA1A62">
      <w:pPr>
        <w:pStyle w:val="Seznamsodrkami"/>
        <w:numPr>
          <w:ilvl w:val="0"/>
          <w:numId w:val="5"/>
        </w:numPr>
        <w:tabs>
          <w:tab w:val="left" w:pos="4962"/>
        </w:tabs>
        <w:rPr>
          <w:sz w:val="22"/>
          <w:szCs w:val="22"/>
        </w:rPr>
      </w:pPr>
      <w:r w:rsidRPr="0041239C">
        <w:rPr>
          <w:sz w:val="22"/>
          <w:szCs w:val="22"/>
        </w:rPr>
        <w:t>zatížitelnost transformátoru</w:t>
      </w:r>
      <w:r w:rsidRPr="0041239C">
        <w:rPr>
          <w:sz w:val="22"/>
          <w:szCs w:val="22"/>
        </w:rPr>
        <w:tab/>
        <w:t>tř. V dle ČSN EN 50329</w:t>
      </w:r>
    </w:p>
    <w:p w14:paraId="62E6849F" w14:textId="77777777" w:rsidR="00CA1A62" w:rsidRPr="0041239C" w:rsidRDefault="00CA1A62" w:rsidP="00CA1A62">
      <w:pPr>
        <w:pStyle w:val="Seznamsodrkami"/>
        <w:numPr>
          <w:ilvl w:val="0"/>
          <w:numId w:val="5"/>
        </w:numPr>
        <w:tabs>
          <w:tab w:val="left" w:pos="4962"/>
        </w:tabs>
        <w:rPr>
          <w:sz w:val="22"/>
          <w:szCs w:val="22"/>
        </w:rPr>
      </w:pPr>
      <w:r w:rsidRPr="0041239C">
        <w:rPr>
          <w:sz w:val="22"/>
          <w:szCs w:val="22"/>
        </w:rPr>
        <w:t>počet usměrňovacích jednotek</w:t>
      </w:r>
      <w:r w:rsidRPr="0041239C">
        <w:rPr>
          <w:sz w:val="22"/>
          <w:szCs w:val="22"/>
        </w:rPr>
        <w:tab/>
        <w:t>3 ks</w:t>
      </w:r>
    </w:p>
    <w:p w14:paraId="407AB6F5" w14:textId="77777777" w:rsidR="00CA1A62" w:rsidRPr="0041239C" w:rsidRDefault="00CA1A62" w:rsidP="00CA1A62">
      <w:pPr>
        <w:pStyle w:val="Seznamsodrkami"/>
        <w:numPr>
          <w:ilvl w:val="0"/>
          <w:numId w:val="5"/>
        </w:numPr>
        <w:tabs>
          <w:tab w:val="left" w:pos="4962"/>
        </w:tabs>
        <w:rPr>
          <w:sz w:val="22"/>
          <w:szCs w:val="22"/>
        </w:rPr>
      </w:pPr>
      <w:r w:rsidRPr="0041239C">
        <w:rPr>
          <w:sz w:val="22"/>
          <w:szCs w:val="22"/>
        </w:rPr>
        <w:t>trakční usměrňovač</w:t>
      </w:r>
      <w:r w:rsidRPr="0041239C">
        <w:rPr>
          <w:sz w:val="22"/>
          <w:szCs w:val="22"/>
        </w:rPr>
        <w:tab/>
        <w:t>1000 A, 750 V DC</w:t>
      </w:r>
    </w:p>
    <w:p w14:paraId="3EC99DC2" w14:textId="77777777" w:rsidR="00CA1A62" w:rsidRPr="0041239C" w:rsidRDefault="00CA1A62" w:rsidP="00CA1A62">
      <w:pPr>
        <w:pStyle w:val="Seznamsodrkami"/>
        <w:numPr>
          <w:ilvl w:val="0"/>
          <w:numId w:val="5"/>
        </w:numPr>
        <w:tabs>
          <w:tab w:val="left" w:pos="4962"/>
        </w:tabs>
        <w:rPr>
          <w:sz w:val="22"/>
          <w:szCs w:val="22"/>
        </w:rPr>
      </w:pPr>
      <w:r w:rsidRPr="0041239C">
        <w:rPr>
          <w:sz w:val="22"/>
          <w:szCs w:val="22"/>
        </w:rPr>
        <w:t>způsob provozu trakční soustavy</w:t>
      </w:r>
      <w:r w:rsidRPr="0041239C">
        <w:rPr>
          <w:sz w:val="22"/>
          <w:szCs w:val="22"/>
        </w:rPr>
        <w:tab/>
        <w:t>oba póly trolej</w:t>
      </w:r>
    </w:p>
    <w:p w14:paraId="57B603A0" w14:textId="77777777" w:rsidR="00CA1A62" w:rsidRPr="0041239C" w:rsidRDefault="00CA1A62" w:rsidP="00CA1A62">
      <w:pPr>
        <w:pStyle w:val="Seznamsodrkami"/>
        <w:numPr>
          <w:ilvl w:val="0"/>
          <w:numId w:val="5"/>
        </w:numPr>
        <w:tabs>
          <w:tab w:val="left" w:pos="4962"/>
        </w:tabs>
        <w:rPr>
          <w:sz w:val="22"/>
          <w:szCs w:val="22"/>
        </w:rPr>
      </w:pPr>
      <w:r w:rsidRPr="0041239C">
        <w:rPr>
          <w:sz w:val="22"/>
          <w:szCs w:val="22"/>
        </w:rPr>
        <w:t xml:space="preserve">zapojení </w:t>
      </w:r>
      <w:proofErr w:type="spellStart"/>
      <w:r w:rsidRPr="0041239C">
        <w:rPr>
          <w:sz w:val="22"/>
          <w:szCs w:val="22"/>
        </w:rPr>
        <w:t>napáječových</w:t>
      </w:r>
      <w:proofErr w:type="spellEnd"/>
      <w:r w:rsidRPr="0041239C">
        <w:rPr>
          <w:sz w:val="22"/>
          <w:szCs w:val="22"/>
        </w:rPr>
        <w:t xml:space="preserve"> vypínačů</w:t>
      </w:r>
      <w:r w:rsidRPr="0041239C">
        <w:rPr>
          <w:sz w:val="22"/>
          <w:szCs w:val="22"/>
        </w:rPr>
        <w:tab/>
        <w:t>v minus pólu</w:t>
      </w:r>
    </w:p>
    <w:p w14:paraId="7CB5FD65" w14:textId="77777777" w:rsidR="00CA1A62" w:rsidRPr="0041239C" w:rsidRDefault="00CA1A62" w:rsidP="00CA1A62">
      <w:pPr>
        <w:pStyle w:val="Seznamsodrkami"/>
        <w:numPr>
          <w:ilvl w:val="0"/>
          <w:numId w:val="5"/>
        </w:numPr>
        <w:tabs>
          <w:tab w:val="left" w:pos="4962"/>
        </w:tabs>
        <w:rPr>
          <w:sz w:val="22"/>
          <w:szCs w:val="22"/>
        </w:rPr>
      </w:pPr>
      <w:r w:rsidRPr="0041239C">
        <w:rPr>
          <w:sz w:val="22"/>
          <w:szCs w:val="22"/>
        </w:rPr>
        <w:t xml:space="preserve">provedení </w:t>
      </w:r>
      <w:proofErr w:type="spellStart"/>
      <w:r w:rsidRPr="0041239C">
        <w:rPr>
          <w:sz w:val="22"/>
          <w:szCs w:val="22"/>
        </w:rPr>
        <w:t>napáječových</w:t>
      </w:r>
      <w:proofErr w:type="spellEnd"/>
      <w:r w:rsidRPr="0041239C">
        <w:rPr>
          <w:sz w:val="22"/>
          <w:szCs w:val="22"/>
        </w:rPr>
        <w:t xml:space="preserve"> vypínačů</w:t>
      </w:r>
      <w:r w:rsidRPr="0041239C">
        <w:rPr>
          <w:sz w:val="22"/>
          <w:szCs w:val="22"/>
        </w:rPr>
        <w:tab/>
        <w:t>pevné</w:t>
      </w:r>
    </w:p>
    <w:p w14:paraId="6CC6F796" w14:textId="77777777" w:rsidR="00CA1A62" w:rsidRPr="0041239C" w:rsidRDefault="00CA1A62" w:rsidP="00CA1A62">
      <w:pPr>
        <w:pStyle w:val="Seznamsodrkami"/>
        <w:numPr>
          <w:ilvl w:val="0"/>
          <w:numId w:val="5"/>
        </w:numPr>
        <w:tabs>
          <w:tab w:val="left" w:pos="4962"/>
        </w:tabs>
        <w:rPr>
          <w:sz w:val="22"/>
          <w:szCs w:val="22"/>
        </w:rPr>
      </w:pPr>
      <w:r w:rsidRPr="0041239C">
        <w:rPr>
          <w:sz w:val="22"/>
          <w:szCs w:val="22"/>
        </w:rPr>
        <w:t xml:space="preserve">počet </w:t>
      </w:r>
      <w:proofErr w:type="spellStart"/>
      <w:r w:rsidRPr="0041239C">
        <w:rPr>
          <w:sz w:val="22"/>
          <w:szCs w:val="22"/>
        </w:rPr>
        <w:t>napáječových</w:t>
      </w:r>
      <w:proofErr w:type="spellEnd"/>
      <w:r w:rsidRPr="0041239C">
        <w:rPr>
          <w:sz w:val="22"/>
          <w:szCs w:val="22"/>
        </w:rPr>
        <w:t xml:space="preserve"> skříní</w:t>
      </w:r>
      <w:r w:rsidRPr="0041239C">
        <w:rPr>
          <w:sz w:val="22"/>
          <w:szCs w:val="22"/>
        </w:rPr>
        <w:tab/>
        <w:t>10+2 pro trolejbus</w:t>
      </w:r>
    </w:p>
    <w:p w14:paraId="281524EA" w14:textId="77777777" w:rsidR="00CA1A62" w:rsidRPr="0041239C" w:rsidRDefault="00CA1A62" w:rsidP="00CA1A62">
      <w:pPr>
        <w:pStyle w:val="Odstavecseseznamem"/>
        <w:numPr>
          <w:ilvl w:val="0"/>
          <w:numId w:val="5"/>
        </w:numPr>
        <w:contextualSpacing w:val="0"/>
        <w:rPr>
          <w:sz w:val="22"/>
          <w:szCs w:val="22"/>
        </w:rPr>
      </w:pPr>
      <w:r w:rsidRPr="0041239C">
        <w:rPr>
          <w:sz w:val="22"/>
          <w:szCs w:val="22"/>
        </w:rPr>
        <w:t>dálkové ovládání</w:t>
      </w:r>
      <w:r w:rsidRPr="0041239C">
        <w:rPr>
          <w:sz w:val="22"/>
          <w:szCs w:val="22"/>
        </w:rPr>
        <w:tab/>
        <w:t>systémem SAIA připojeno na dispečink</w:t>
      </w:r>
    </w:p>
    <w:p w14:paraId="4E35DC61" w14:textId="77777777" w:rsidR="00CA1A62" w:rsidRPr="0041239C" w:rsidRDefault="00CA1A62" w:rsidP="00CA1A62">
      <w:pPr>
        <w:pStyle w:val="Seznamsodrkami"/>
        <w:numPr>
          <w:ilvl w:val="0"/>
          <w:numId w:val="5"/>
        </w:numPr>
        <w:tabs>
          <w:tab w:val="left" w:pos="4395"/>
        </w:tabs>
        <w:rPr>
          <w:sz w:val="22"/>
          <w:szCs w:val="22"/>
        </w:rPr>
      </w:pPr>
      <w:r w:rsidRPr="0041239C">
        <w:rPr>
          <w:sz w:val="22"/>
          <w:szCs w:val="22"/>
        </w:rPr>
        <w:t>primární napájecí síť</w:t>
      </w:r>
      <w:r w:rsidRPr="0041239C">
        <w:rPr>
          <w:sz w:val="22"/>
          <w:szCs w:val="22"/>
        </w:rPr>
        <w:tab/>
      </w:r>
      <w:r w:rsidRPr="0041239C">
        <w:rPr>
          <w:sz w:val="22"/>
          <w:szCs w:val="22"/>
        </w:rPr>
        <w:tab/>
        <w:t>3 AC 50Hz 22kV / IT</w:t>
      </w:r>
    </w:p>
    <w:p w14:paraId="035457FF" w14:textId="77777777" w:rsidR="00CA1A62" w:rsidRPr="0041239C" w:rsidRDefault="00CA1A62" w:rsidP="00CA1A62">
      <w:pPr>
        <w:pStyle w:val="Seznamsodrkami"/>
        <w:numPr>
          <w:ilvl w:val="0"/>
          <w:numId w:val="5"/>
        </w:numPr>
        <w:tabs>
          <w:tab w:val="left" w:pos="4395"/>
        </w:tabs>
        <w:rPr>
          <w:sz w:val="22"/>
          <w:szCs w:val="22"/>
        </w:rPr>
      </w:pPr>
      <w:r w:rsidRPr="0041239C">
        <w:rPr>
          <w:sz w:val="22"/>
          <w:szCs w:val="22"/>
        </w:rPr>
        <w:t>napájení z trakčních transformátorů</w:t>
      </w:r>
      <w:r w:rsidRPr="0041239C">
        <w:rPr>
          <w:sz w:val="22"/>
          <w:szCs w:val="22"/>
        </w:rPr>
        <w:tab/>
        <w:t>3 AC 50Hz 514V / IT</w:t>
      </w:r>
    </w:p>
    <w:p w14:paraId="55C0948C" w14:textId="77777777" w:rsidR="00CA1A62" w:rsidRPr="0041239C" w:rsidRDefault="00CA1A62" w:rsidP="00CA1A62">
      <w:pPr>
        <w:pStyle w:val="Seznamsodrkami"/>
        <w:numPr>
          <w:ilvl w:val="0"/>
          <w:numId w:val="5"/>
        </w:numPr>
        <w:tabs>
          <w:tab w:val="left" w:pos="4395"/>
        </w:tabs>
        <w:rPr>
          <w:sz w:val="22"/>
          <w:szCs w:val="22"/>
        </w:rPr>
      </w:pPr>
      <w:r w:rsidRPr="0041239C">
        <w:rPr>
          <w:sz w:val="22"/>
          <w:szCs w:val="22"/>
        </w:rPr>
        <w:t>trakční síť</w:t>
      </w:r>
      <w:r w:rsidRPr="0041239C">
        <w:rPr>
          <w:sz w:val="22"/>
          <w:szCs w:val="22"/>
        </w:rPr>
        <w:tab/>
      </w:r>
      <w:r w:rsidRPr="0041239C">
        <w:rPr>
          <w:sz w:val="22"/>
          <w:szCs w:val="22"/>
        </w:rPr>
        <w:tab/>
        <w:t xml:space="preserve">2 DC 600V / IT (zařízení </w:t>
      </w:r>
      <w:proofErr w:type="spellStart"/>
      <w:r w:rsidRPr="0041239C">
        <w:rPr>
          <w:sz w:val="22"/>
          <w:szCs w:val="22"/>
        </w:rPr>
        <w:t>konstr</w:t>
      </w:r>
      <w:proofErr w:type="spellEnd"/>
      <w:r w:rsidRPr="0041239C">
        <w:rPr>
          <w:sz w:val="22"/>
          <w:szCs w:val="22"/>
        </w:rPr>
        <w:t>. na 750 V DC)</w:t>
      </w:r>
    </w:p>
    <w:p w14:paraId="580FA091" w14:textId="77777777" w:rsidR="00CA1A62" w:rsidRPr="0041239C" w:rsidRDefault="00CA1A62" w:rsidP="00CA1A62">
      <w:pPr>
        <w:pStyle w:val="Seznamsodrkami"/>
        <w:numPr>
          <w:ilvl w:val="0"/>
          <w:numId w:val="5"/>
        </w:numPr>
        <w:tabs>
          <w:tab w:val="left" w:pos="4395"/>
        </w:tabs>
        <w:rPr>
          <w:sz w:val="22"/>
          <w:szCs w:val="22"/>
        </w:rPr>
      </w:pPr>
      <w:r w:rsidRPr="0041239C">
        <w:rPr>
          <w:sz w:val="22"/>
          <w:szCs w:val="22"/>
        </w:rPr>
        <w:t>pomocná napětí</w:t>
      </w:r>
      <w:r w:rsidRPr="0041239C">
        <w:rPr>
          <w:sz w:val="22"/>
          <w:szCs w:val="22"/>
        </w:rPr>
        <w:tab/>
      </w:r>
      <w:r w:rsidRPr="0041239C">
        <w:rPr>
          <w:sz w:val="22"/>
          <w:szCs w:val="22"/>
        </w:rPr>
        <w:tab/>
        <w:t>2 DC 24V / FELV</w:t>
      </w:r>
    </w:p>
    <w:p w14:paraId="6A8FC61F" w14:textId="707A90B7" w:rsidR="00CA1A62" w:rsidRPr="0041239C" w:rsidRDefault="00CA1A62" w:rsidP="00CA1A62">
      <w:pPr>
        <w:pStyle w:val="Seznamsodrkami"/>
        <w:numPr>
          <w:ilvl w:val="0"/>
          <w:numId w:val="0"/>
        </w:numPr>
        <w:tabs>
          <w:tab w:val="left" w:pos="4962"/>
        </w:tabs>
        <w:ind w:left="1146"/>
        <w:rPr>
          <w:sz w:val="22"/>
          <w:szCs w:val="22"/>
        </w:rPr>
      </w:pPr>
      <w:r w:rsidRPr="0041239C">
        <w:rPr>
          <w:sz w:val="22"/>
          <w:szCs w:val="22"/>
        </w:rPr>
        <w:tab/>
        <w:t>3 N PE AC 50Hz 400V / TN-C-S</w:t>
      </w:r>
    </w:p>
    <w:p w14:paraId="290EC081" w14:textId="784BA345" w:rsidR="00CE22A3" w:rsidRPr="0041239C" w:rsidRDefault="00CE22A3" w:rsidP="0057466C">
      <w:pPr>
        <w:pStyle w:val="Seznamsodrkami"/>
        <w:numPr>
          <w:ilvl w:val="0"/>
          <w:numId w:val="5"/>
        </w:numPr>
        <w:tabs>
          <w:tab w:val="left" w:pos="4962"/>
        </w:tabs>
        <w:rPr>
          <w:sz w:val="22"/>
          <w:szCs w:val="22"/>
        </w:rPr>
      </w:pPr>
      <w:r w:rsidRPr="0041239C">
        <w:rPr>
          <w:sz w:val="22"/>
          <w:szCs w:val="22"/>
        </w:rPr>
        <w:t xml:space="preserve">energetický informační systém AISYS pro přenos dat spotřeby energie z hlavního měření </w:t>
      </w:r>
      <w:proofErr w:type="spellStart"/>
      <w:r w:rsidRPr="0041239C">
        <w:rPr>
          <w:sz w:val="22"/>
          <w:szCs w:val="22"/>
        </w:rPr>
        <w:t>ČEZu</w:t>
      </w:r>
      <w:proofErr w:type="spellEnd"/>
      <w:r w:rsidRPr="0041239C">
        <w:rPr>
          <w:sz w:val="22"/>
          <w:szCs w:val="22"/>
        </w:rPr>
        <w:t>, slouží i jako záložní komunikační linka pro SAIA</w:t>
      </w:r>
    </w:p>
    <w:p w14:paraId="28B07F3C" w14:textId="77777777" w:rsidR="00CA1A62" w:rsidRPr="0041239C" w:rsidRDefault="00CA1A62" w:rsidP="00CA1A62">
      <w:pPr>
        <w:pStyle w:val="Odstavecseseznamem"/>
        <w:ind w:left="709"/>
        <w:contextualSpacing w:val="0"/>
        <w:rPr>
          <w:sz w:val="22"/>
          <w:szCs w:val="22"/>
        </w:rPr>
      </w:pPr>
    </w:p>
    <w:p w14:paraId="160DF0D3" w14:textId="6000D31C" w:rsidR="00CA1A62" w:rsidRPr="0041239C" w:rsidRDefault="00CA1A62" w:rsidP="00CA1A62">
      <w:pPr>
        <w:pStyle w:val="Odstavecseseznamem"/>
        <w:numPr>
          <w:ilvl w:val="0"/>
          <w:numId w:val="2"/>
        </w:numPr>
        <w:ind w:left="709" w:hanging="283"/>
        <w:contextualSpacing w:val="0"/>
        <w:rPr>
          <w:sz w:val="22"/>
          <w:szCs w:val="22"/>
        </w:rPr>
      </w:pPr>
      <w:r w:rsidRPr="0041239C">
        <w:rPr>
          <w:sz w:val="22"/>
          <w:szCs w:val="22"/>
        </w:rPr>
        <w:t>Zpracování projektové dokumentace pro</w:t>
      </w:r>
      <w:r w:rsidR="00466552" w:rsidRPr="0041239C">
        <w:rPr>
          <w:sz w:val="22"/>
          <w:szCs w:val="22"/>
        </w:rPr>
        <w:t xml:space="preserve"> územní rozhodnutí,</w:t>
      </w:r>
      <w:r w:rsidRPr="0041239C">
        <w:rPr>
          <w:sz w:val="22"/>
          <w:szCs w:val="22"/>
        </w:rPr>
        <w:t xml:space="preserve"> </w:t>
      </w:r>
      <w:r w:rsidR="00A8682F">
        <w:rPr>
          <w:sz w:val="22"/>
          <w:szCs w:val="22"/>
        </w:rPr>
        <w:t xml:space="preserve">odstranění stavby, </w:t>
      </w:r>
      <w:r w:rsidRPr="0041239C">
        <w:rPr>
          <w:sz w:val="22"/>
          <w:szCs w:val="22"/>
        </w:rPr>
        <w:t>stavební povolení a provádění stavby, pro novou stavbu trakční trolejbusové měnírny Hrušov USMXII. Stavba se bude týkat i kompletní technologie trakční měnírny (VN rozvodny 22kV, SS rozvodny 0,6kV a všech pomocných zařízení) a následné demolice stávající trakční měnírny.</w:t>
      </w:r>
    </w:p>
    <w:p w14:paraId="6EE52F04" w14:textId="77777777" w:rsidR="00A8682F" w:rsidRDefault="00CA1A62" w:rsidP="00CA1A62">
      <w:pPr>
        <w:pStyle w:val="Odstavecseseznamem"/>
        <w:ind w:left="709"/>
        <w:contextualSpacing w:val="0"/>
        <w:rPr>
          <w:sz w:val="22"/>
          <w:szCs w:val="22"/>
        </w:rPr>
      </w:pPr>
      <w:r w:rsidRPr="0041239C">
        <w:rPr>
          <w:sz w:val="22"/>
          <w:szCs w:val="22"/>
        </w:rPr>
        <w:t>Jelikož budova stávající měnírny je rozměrově předimenzována (538 m</w:t>
      </w:r>
      <w:r w:rsidRPr="0041239C">
        <w:rPr>
          <w:sz w:val="22"/>
          <w:szCs w:val="22"/>
          <w:vertAlign w:val="superscript"/>
        </w:rPr>
        <w:t>2</w:t>
      </w:r>
      <w:r w:rsidRPr="0041239C">
        <w:rPr>
          <w:sz w:val="22"/>
          <w:szCs w:val="22"/>
        </w:rPr>
        <w:t>) a stav budovy by vyžadoval rozsáhlé investice do rekonstrukce budovy, požaduje objednatel vybudování nové měnírny (kioskové, zděné, dle požadavku na rozsah technologie) na pozemku ve vlastnictví DPO a.s., který je součástí areálu trakční měnírny (cca. 2301 m</w:t>
      </w:r>
      <w:r w:rsidRPr="0041239C">
        <w:rPr>
          <w:sz w:val="22"/>
          <w:szCs w:val="22"/>
          <w:vertAlign w:val="superscript"/>
        </w:rPr>
        <w:t>2</w:t>
      </w:r>
      <w:r w:rsidRPr="0041239C">
        <w:rPr>
          <w:sz w:val="22"/>
          <w:szCs w:val="22"/>
        </w:rPr>
        <w:t>), okolo stávající budovy.</w:t>
      </w:r>
    </w:p>
    <w:p w14:paraId="2FDC81D4" w14:textId="7C167D87" w:rsidR="00CA1A62" w:rsidRPr="0041239C" w:rsidRDefault="00A8682F" w:rsidP="00CA1A62">
      <w:pPr>
        <w:pStyle w:val="Odstavecseseznamem"/>
        <w:ind w:left="709"/>
        <w:contextualSpacing w:val="0"/>
        <w:rPr>
          <w:sz w:val="22"/>
          <w:szCs w:val="22"/>
        </w:rPr>
      </w:pPr>
      <w:r>
        <w:rPr>
          <w:sz w:val="22"/>
          <w:szCs w:val="22"/>
        </w:rPr>
        <w:t xml:space="preserve">Při umístění nové měnírny na pozemku bude brán zřetel na možné budoucí dělení pozemku a případný prodej nezastavěných částí pozemku.  </w:t>
      </w:r>
      <w:r w:rsidR="00CA1A62" w:rsidRPr="0041239C">
        <w:rPr>
          <w:sz w:val="22"/>
          <w:szCs w:val="22"/>
        </w:rPr>
        <w:t xml:space="preserve"> </w:t>
      </w:r>
    </w:p>
    <w:p w14:paraId="396D7E2E" w14:textId="77777777" w:rsidR="00CA1A62" w:rsidRPr="0041239C" w:rsidRDefault="00CA1A62" w:rsidP="00CA1A62">
      <w:pPr>
        <w:pStyle w:val="Odstavecseseznamem"/>
        <w:ind w:left="709"/>
        <w:contextualSpacing w:val="0"/>
        <w:rPr>
          <w:sz w:val="22"/>
          <w:szCs w:val="22"/>
        </w:rPr>
      </w:pPr>
    </w:p>
    <w:p w14:paraId="388E6E39" w14:textId="77777777" w:rsidR="00CA1A62" w:rsidRPr="0041239C" w:rsidRDefault="00CA1A62" w:rsidP="00CA1A62">
      <w:pPr>
        <w:pStyle w:val="Odstavecseseznamem"/>
        <w:numPr>
          <w:ilvl w:val="0"/>
          <w:numId w:val="2"/>
        </w:numPr>
        <w:ind w:left="709" w:hanging="283"/>
        <w:contextualSpacing w:val="0"/>
        <w:rPr>
          <w:sz w:val="22"/>
          <w:szCs w:val="22"/>
        </w:rPr>
      </w:pPr>
      <w:r w:rsidRPr="0041239C">
        <w:rPr>
          <w:sz w:val="22"/>
          <w:szCs w:val="22"/>
        </w:rPr>
        <w:t>Provést energetický výpočet napájení trakční měnírny a jednotlivých napájecích úseků včetně zpětných vedení, včetně případného provizorního napájení oblastí měníren Sokolská, Michálkovice, Slezská (případně Sad B. Němcové).</w:t>
      </w:r>
    </w:p>
    <w:p w14:paraId="4B274D6F" w14:textId="77777777" w:rsidR="00CA1A62" w:rsidRPr="0041239C" w:rsidRDefault="00CA1A62" w:rsidP="00CA1A62">
      <w:pPr>
        <w:pStyle w:val="Odstavecseseznamem"/>
        <w:ind w:left="709"/>
        <w:contextualSpacing w:val="0"/>
        <w:rPr>
          <w:sz w:val="22"/>
          <w:szCs w:val="22"/>
        </w:rPr>
      </w:pPr>
    </w:p>
    <w:p w14:paraId="3DD2752A" w14:textId="77777777" w:rsidR="00CA1A62" w:rsidRPr="0041239C" w:rsidRDefault="00CA1A62" w:rsidP="00CA1A62">
      <w:pPr>
        <w:pStyle w:val="Odstavecseseznamem"/>
        <w:numPr>
          <w:ilvl w:val="0"/>
          <w:numId w:val="2"/>
        </w:numPr>
        <w:ind w:left="709" w:hanging="283"/>
        <w:contextualSpacing w:val="0"/>
        <w:rPr>
          <w:sz w:val="22"/>
          <w:szCs w:val="22"/>
        </w:rPr>
      </w:pPr>
      <w:r w:rsidRPr="0041239C">
        <w:rPr>
          <w:sz w:val="22"/>
          <w:szCs w:val="22"/>
        </w:rPr>
        <w:t>Na základě energetického výpočtu a případně energetických bilancí (spotřeby energie a čtvrthodinového maxima), dimenzovat a navrhnout novou technologii měnírny.</w:t>
      </w:r>
    </w:p>
    <w:p w14:paraId="4DE59DEE" w14:textId="77777777" w:rsidR="00CA1A62" w:rsidRPr="0041239C" w:rsidRDefault="00CA1A62" w:rsidP="00CA1A62">
      <w:pPr>
        <w:rPr>
          <w:sz w:val="22"/>
          <w:szCs w:val="22"/>
        </w:rPr>
      </w:pPr>
    </w:p>
    <w:p w14:paraId="7CE88CD9" w14:textId="77777777" w:rsidR="00CA1A62" w:rsidRPr="0041239C" w:rsidRDefault="00CA1A62" w:rsidP="00CA1A62">
      <w:pPr>
        <w:pStyle w:val="Odstavecseseznamem"/>
        <w:numPr>
          <w:ilvl w:val="0"/>
          <w:numId w:val="2"/>
        </w:numPr>
        <w:ind w:left="709" w:hanging="283"/>
        <w:contextualSpacing w:val="0"/>
        <w:rPr>
          <w:sz w:val="22"/>
          <w:szCs w:val="22"/>
        </w:rPr>
      </w:pPr>
      <w:r w:rsidRPr="0041239C">
        <w:rPr>
          <w:sz w:val="22"/>
          <w:szCs w:val="22"/>
        </w:rPr>
        <w:t>Zpracovat návrh organizace výstavby včetně návrhu provizorních stavů technologie stávající měnírny při trvalém zachování provozu stávající měnírny.</w:t>
      </w:r>
    </w:p>
    <w:p w14:paraId="0070556D" w14:textId="22BCF22E" w:rsidR="00CA1A62" w:rsidRPr="0041239C" w:rsidRDefault="00CA1A62" w:rsidP="00CA1A62">
      <w:pPr>
        <w:rPr>
          <w:sz w:val="22"/>
          <w:szCs w:val="22"/>
        </w:rPr>
      </w:pPr>
    </w:p>
    <w:p w14:paraId="7089DBFC" w14:textId="77777777" w:rsidR="00CA1A62" w:rsidRPr="0041239C" w:rsidRDefault="00CA1A62" w:rsidP="00CA1A62">
      <w:pPr>
        <w:pStyle w:val="Odstavecseseznamem"/>
        <w:numPr>
          <w:ilvl w:val="0"/>
          <w:numId w:val="2"/>
        </w:numPr>
        <w:ind w:left="709" w:hanging="283"/>
        <w:contextualSpacing w:val="0"/>
        <w:rPr>
          <w:sz w:val="22"/>
          <w:szCs w:val="22"/>
        </w:rPr>
      </w:pPr>
      <w:r w:rsidRPr="0041239C">
        <w:rPr>
          <w:sz w:val="22"/>
          <w:szCs w:val="22"/>
        </w:rPr>
        <w:t>Nová navržená technologie musí splňovat všechny předepsané ČSN a EN.</w:t>
      </w:r>
    </w:p>
    <w:p w14:paraId="73C944E3" w14:textId="77777777" w:rsidR="00CA1A62" w:rsidRPr="0041239C" w:rsidRDefault="00CA1A62" w:rsidP="00CA1A62">
      <w:pPr>
        <w:pStyle w:val="Odstavecseseznamem"/>
        <w:ind w:left="709"/>
        <w:contextualSpacing w:val="0"/>
        <w:rPr>
          <w:sz w:val="22"/>
          <w:szCs w:val="22"/>
        </w:rPr>
      </w:pPr>
    </w:p>
    <w:p w14:paraId="0B64A4E4" w14:textId="77777777" w:rsidR="00CA1A62" w:rsidRPr="0041239C" w:rsidRDefault="00CA1A62" w:rsidP="00CA1A62">
      <w:pPr>
        <w:pStyle w:val="Odstavecseseznamem"/>
        <w:numPr>
          <w:ilvl w:val="0"/>
          <w:numId w:val="2"/>
        </w:numPr>
        <w:ind w:left="709" w:hanging="283"/>
        <w:contextualSpacing w:val="0"/>
        <w:rPr>
          <w:sz w:val="22"/>
          <w:szCs w:val="22"/>
        </w:rPr>
      </w:pPr>
      <w:r w:rsidRPr="0041239C">
        <w:rPr>
          <w:sz w:val="22"/>
          <w:szCs w:val="22"/>
        </w:rPr>
        <w:t>Stávající kobková VN rozvodna 22kV, může být nahrazena zapouzdřenou VN rozvodnou</w:t>
      </w:r>
    </w:p>
    <w:p w14:paraId="2F166C03" w14:textId="77777777" w:rsidR="00CA1A62" w:rsidRPr="0041239C" w:rsidRDefault="00CA1A62" w:rsidP="00CA1A62">
      <w:pPr>
        <w:rPr>
          <w:sz w:val="22"/>
          <w:szCs w:val="22"/>
        </w:rPr>
      </w:pPr>
    </w:p>
    <w:p w14:paraId="0A3A76E0" w14:textId="77777777" w:rsidR="00CA1A62" w:rsidRPr="0041239C" w:rsidRDefault="00CA1A62" w:rsidP="00CA1A62">
      <w:pPr>
        <w:pStyle w:val="Odstavecseseznamem"/>
        <w:numPr>
          <w:ilvl w:val="0"/>
          <w:numId w:val="2"/>
        </w:numPr>
        <w:ind w:left="709" w:hanging="283"/>
        <w:contextualSpacing w:val="0"/>
        <w:rPr>
          <w:sz w:val="22"/>
          <w:szCs w:val="22"/>
        </w:rPr>
      </w:pPr>
      <w:r w:rsidRPr="0041239C">
        <w:rPr>
          <w:sz w:val="22"/>
          <w:szCs w:val="22"/>
        </w:rPr>
        <w:t>Stávající olejové trakční transformátory budou nahrazeny suchými o výkonu vycházejícího z energetického výpočtu. Objednatel předpokládá provoz na jeden transformátor a jeden náhradní. (2 transformátory na místo 3 stávajících)</w:t>
      </w:r>
    </w:p>
    <w:p w14:paraId="7FEF234C" w14:textId="77777777" w:rsidR="00CA1A62" w:rsidRPr="0041239C" w:rsidRDefault="00CA1A62" w:rsidP="00CA1A62">
      <w:pPr>
        <w:rPr>
          <w:sz w:val="22"/>
          <w:szCs w:val="22"/>
        </w:rPr>
      </w:pPr>
    </w:p>
    <w:p w14:paraId="142A1618" w14:textId="2DF85D6E" w:rsidR="00CA1A62" w:rsidRDefault="00CA1A62" w:rsidP="00CA1A62">
      <w:pPr>
        <w:pStyle w:val="Odstavecseseznamem"/>
        <w:numPr>
          <w:ilvl w:val="0"/>
          <w:numId w:val="2"/>
        </w:numPr>
        <w:ind w:left="709" w:hanging="283"/>
        <w:contextualSpacing w:val="0"/>
        <w:rPr>
          <w:sz w:val="22"/>
          <w:szCs w:val="22"/>
        </w:rPr>
      </w:pPr>
      <w:r w:rsidRPr="0041239C">
        <w:rPr>
          <w:sz w:val="22"/>
          <w:szCs w:val="22"/>
        </w:rPr>
        <w:t>Navržení napájecích stejnosměrných skříní trolejbusových</w:t>
      </w:r>
      <w:r w:rsidR="0081122D">
        <w:rPr>
          <w:sz w:val="22"/>
          <w:szCs w:val="22"/>
        </w:rPr>
        <w:t>, v </w:t>
      </w:r>
      <w:proofErr w:type="spellStart"/>
      <w:r w:rsidR="0081122D">
        <w:rPr>
          <w:sz w:val="22"/>
          <w:szCs w:val="22"/>
        </w:rPr>
        <w:t>nevysuvném</w:t>
      </w:r>
      <w:proofErr w:type="spellEnd"/>
      <w:r w:rsidR="0081122D">
        <w:rPr>
          <w:sz w:val="22"/>
          <w:szCs w:val="22"/>
        </w:rPr>
        <w:t xml:space="preserve"> provedení</w:t>
      </w:r>
      <w:r w:rsidRPr="0041239C">
        <w:rPr>
          <w:sz w:val="22"/>
          <w:szCs w:val="22"/>
        </w:rPr>
        <w:t>:  10 + 2 rezervy (nově lze upravit na 10 + 1, případně 9 + 1), automatické přepnutí na rezervu i při režimu dálkového ovládání, navržená koncepce stejnosměrného rozvaděče bude využívat konstrukční prvky užité např. v měnírnách Kolejní, Hranečník, Slezská. (dvoupólové vypínání, hlídání izolačního stavu, zapracování přepěťových ochran L+, L- apod.)</w:t>
      </w:r>
    </w:p>
    <w:p w14:paraId="25B42050" w14:textId="77777777" w:rsidR="008E73E3" w:rsidRPr="00C129C7" w:rsidRDefault="008E73E3" w:rsidP="00C129C7">
      <w:pPr>
        <w:pStyle w:val="Odstavecseseznamem"/>
        <w:rPr>
          <w:sz w:val="22"/>
          <w:szCs w:val="22"/>
        </w:rPr>
      </w:pPr>
    </w:p>
    <w:p w14:paraId="2C25156F" w14:textId="3EFBB845" w:rsidR="008E73E3" w:rsidRPr="0041239C" w:rsidRDefault="008E73E3" w:rsidP="00CA1A62">
      <w:pPr>
        <w:pStyle w:val="Odstavecseseznamem"/>
        <w:numPr>
          <w:ilvl w:val="0"/>
          <w:numId w:val="2"/>
        </w:numPr>
        <w:ind w:left="709" w:hanging="283"/>
        <w:contextualSpacing w:val="0"/>
        <w:rPr>
          <w:sz w:val="22"/>
          <w:szCs w:val="22"/>
        </w:rPr>
      </w:pPr>
      <w:r>
        <w:rPr>
          <w:sz w:val="22"/>
          <w:szCs w:val="22"/>
        </w:rPr>
        <w:t xml:space="preserve">Pokud zhotovitel navrhne provedení výsuvné, nutno do rozpočtu a dodávek zahrnout a započítat veškerý servisní sortiment nezbytný pro běžnou údržbu dané </w:t>
      </w:r>
      <w:proofErr w:type="gramStart"/>
      <w:r>
        <w:rPr>
          <w:sz w:val="22"/>
          <w:szCs w:val="22"/>
        </w:rPr>
        <w:t>technologie ( např.</w:t>
      </w:r>
      <w:proofErr w:type="gramEnd"/>
      <w:r>
        <w:rPr>
          <w:sz w:val="22"/>
          <w:szCs w:val="22"/>
        </w:rPr>
        <w:t xml:space="preserve"> manipulační a zvedací zařízení apod.)</w:t>
      </w:r>
    </w:p>
    <w:p w14:paraId="2D9E5762" w14:textId="77777777" w:rsidR="00CA1A62" w:rsidRPr="0041239C" w:rsidRDefault="00CA1A62" w:rsidP="00CA1A62">
      <w:pPr>
        <w:rPr>
          <w:sz w:val="22"/>
          <w:szCs w:val="22"/>
        </w:rPr>
      </w:pPr>
    </w:p>
    <w:p w14:paraId="2E8B1B13" w14:textId="77777777" w:rsidR="00CA1A62" w:rsidRPr="0041239C" w:rsidRDefault="00CA1A62" w:rsidP="00CA1A62">
      <w:pPr>
        <w:pStyle w:val="Odstavecseseznamem"/>
        <w:numPr>
          <w:ilvl w:val="0"/>
          <w:numId w:val="2"/>
        </w:numPr>
        <w:ind w:left="709" w:hanging="283"/>
        <w:contextualSpacing w:val="0"/>
        <w:rPr>
          <w:sz w:val="22"/>
          <w:szCs w:val="22"/>
        </w:rPr>
      </w:pPr>
      <w:proofErr w:type="spellStart"/>
      <w:r w:rsidRPr="0041239C">
        <w:rPr>
          <w:sz w:val="22"/>
          <w:szCs w:val="22"/>
        </w:rPr>
        <w:t>Naprojektování</w:t>
      </w:r>
      <w:proofErr w:type="spellEnd"/>
      <w:r w:rsidRPr="0041239C">
        <w:rPr>
          <w:sz w:val="22"/>
          <w:szCs w:val="22"/>
        </w:rPr>
        <w:t xml:space="preserve"> zpětného rozvaděče pro vývody L+ (s motorickými odpojovači pro dvoupólové odpojení).</w:t>
      </w:r>
    </w:p>
    <w:p w14:paraId="299A84E4" w14:textId="77777777" w:rsidR="00CA1A62" w:rsidRPr="0041239C" w:rsidRDefault="00CA1A62" w:rsidP="00CA1A62">
      <w:pPr>
        <w:rPr>
          <w:sz w:val="22"/>
          <w:szCs w:val="22"/>
        </w:rPr>
      </w:pPr>
    </w:p>
    <w:p w14:paraId="27E8E244" w14:textId="1C1C3D1E" w:rsidR="00CA1A62" w:rsidRPr="0041239C" w:rsidRDefault="00CA1A62" w:rsidP="00D07B04">
      <w:pPr>
        <w:pStyle w:val="Odstavecseseznamem"/>
        <w:numPr>
          <w:ilvl w:val="0"/>
          <w:numId w:val="2"/>
        </w:numPr>
        <w:ind w:left="709" w:hanging="283"/>
        <w:contextualSpacing w:val="0"/>
        <w:rPr>
          <w:sz w:val="22"/>
          <w:szCs w:val="22"/>
        </w:rPr>
      </w:pPr>
      <w:r w:rsidRPr="0041239C">
        <w:rPr>
          <w:sz w:val="22"/>
          <w:szCs w:val="22"/>
        </w:rPr>
        <w:t>Vyprojektování řídicího systému a dálkového ovládání měnírny dle zavedených standardů DPO (plná kompatibilita se stávajícím systémem), včetně úpravy vizualizace na energetickém dispečinku, záložním pracovišti ED s místním řídicím a vizualizačním PC, v provázanosti na řídící energetický systém (AISYS)</w:t>
      </w:r>
      <w:r w:rsidR="00567FA5" w:rsidRPr="0041239C">
        <w:rPr>
          <w:sz w:val="22"/>
          <w:szCs w:val="22"/>
        </w:rPr>
        <w:t xml:space="preserve">, včetně implementace dálkového odečtu elektroměru od ČEZ distribuce do energetického systému (AISYS) a toto zařízení bude sloužit jako záložní ovládání měnírny     </w:t>
      </w:r>
    </w:p>
    <w:p w14:paraId="2C3D1077" w14:textId="77777777" w:rsidR="00CA1A62" w:rsidRPr="0041239C" w:rsidRDefault="00CA1A62" w:rsidP="00CA1A62">
      <w:pPr>
        <w:pStyle w:val="Odstavecseseznamem"/>
        <w:ind w:left="709"/>
        <w:contextualSpacing w:val="0"/>
        <w:rPr>
          <w:strike/>
          <w:sz w:val="22"/>
          <w:szCs w:val="22"/>
        </w:rPr>
      </w:pPr>
    </w:p>
    <w:p w14:paraId="3DAD5CD4" w14:textId="77777777" w:rsidR="00CA1A62" w:rsidRPr="0041239C" w:rsidRDefault="00CA1A62" w:rsidP="00CA1A62">
      <w:pPr>
        <w:pStyle w:val="Odstavecseseznamem"/>
        <w:numPr>
          <w:ilvl w:val="0"/>
          <w:numId w:val="2"/>
        </w:numPr>
        <w:ind w:left="709" w:hanging="283"/>
        <w:contextualSpacing w:val="0"/>
        <w:rPr>
          <w:sz w:val="22"/>
          <w:szCs w:val="22"/>
        </w:rPr>
      </w:pPr>
      <w:r w:rsidRPr="0041239C">
        <w:rPr>
          <w:sz w:val="22"/>
          <w:szCs w:val="22"/>
        </w:rPr>
        <w:t>Nově navrhnout uzemnění měnírny včetně pomocného zemniče a hromosvodu s provedením korozivního průzkumu umístění.</w:t>
      </w:r>
    </w:p>
    <w:p w14:paraId="3ECF0250" w14:textId="77777777" w:rsidR="00CA1A62" w:rsidRPr="0041239C" w:rsidRDefault="00CA1A62" w:rsidP="00CA1A62">
      <w:pPr>
        <w:rPr>
          <w:sz w:val="22"/>
          <w:szCs w:val="22"/>
        </w:rPr>
      </w:pPr>
    </w:p>
    <w:p w14:paraId="269893FA" w14:textId="56927F89" w:rsidR="00CA1A62" w:rsidRPr="0041239C" w:rsidRDefault="00CA1A62" w:rsidP="00CA1A62">
      <w:pPr>
        <w:pStyle w:val="Odstavecseseznamem"/>
        <w:numPr>
          <w:ilvl w:val="0"/>
          <w:numId w:val="2"/>
        </w:numPr>
        <w:ind w:left="709" w:hanging="283"/>
        <w:contextualSpacing w:val="0"/>
        <w:rPr>
          <w:sz w:val="22"/>
          <w:szCs w:val="22"/>
        </w:rPr>
      </w:pPr>
      <w:r w:rsidRPr="0041239C">
        <w:rPr>
          <w:sz w:val="22"/>
          <w:szCs w:val="22"/>
        </w:rPr>
        <w:t>Navržení kamerového systému s funkční vizualizací na energetický dispečink a dohledové centrum DP</w:t>
      </w:r>
      <w:r w:rsidR="00817095">
        <w:rPr>
          <w:sz w:val="22"/>
          <w:szCs w:val="22"/>
        </w:rPr>
        <w:t>O</w:t>
      </w:r>
      <w:r w:rsidRPr="0041239C">
        <w:rPr>
          <w:sz w:val="22"/>
          <w:szCs w:val="22"/>
        </w:rPr>
        <w:t xml:space="preserve"> (dle standardu DPO a.s.)</w:t>
      </w:r>
      <w:r w:rsidR="00440AAB">
        <w:rPr>
          <w:sz w:val="22"/>
          <w:szCs w:val="22"/>
        </w:rPr>
        <w:t xml:space="preserve"> </w:t>
      </w:r>
      <w:r w:rsidR="00817095">
        <w:rPr>
          <w:sz w:val="22"/>
          <w:szCs w:val="22"/>
        </w:rPr>
        <w:t xml:space="preserve">vč. </w:t>
      </w:r>
      <w:r w:rsidR="00440AAB">
        <w:rPr>
          <w:sz w:val="22"/>
          <w:szCs w:val="22"/>
        </w:rPr>
        <w:t>integrac</w:t>
      </w:r>
      <w:r w:rsidR="00817095">
        <w:rPr>
          <w:sz w:val="22"/>
          <w:szCs w:val="22"/>
        </w:rPr>
        <w:t>e</w:t>
      </w:r>
      <w:r w:rsidR="00440AAB">
        <w:rPr>
          <w:sz w:val="22"/>
          <w:szCs w:val="22"/>
        </w:rPr>
        <w:t xml:space="preserve"> do </w:t>
      </w:r>
      <w:r w:rsidR="00817095">
        <w:rPr>
          <w:sz w:val="22"/>
          <w:szCs w:val="22"/>
        </w:rPr>
        <w:t>grafické nadstavby SBI (integrovaný bezpečnostní systém budov)</w:t>
      </w:r>
      <w:r w:rsidRPr="0041239C">
        <w:rPr>
          <w:sz w:val="22"/>
          <w:szCs w:val="22"/>
        </w:rPr>
        <w:t>.</w:t>
      </w:r>
    </w:p>
    <w:p w14:paraId="46719A4A" w14:textId="77777777" w:rsidR="00CA1A62" w:rsidRPr="0041239C" w:rsidRDefault="00CA1A62" w:rsidP="00CA1A62">
      <w:pPr>
        <w:rPr>
          <w:sz w:val="22"/>
          <w:szCs w:val="22"/>
        </w:rPr>
      </w:pPr>
    </w:p>
    <w:p w14:paraId="0F38D2C4" w14:textId="4ABE1630" w:rsidR="00CA1A62" w:rsidRPr="0041239C" w:rsidRDefault="00CA1A62" w:rsidP="00CA1A62">
      <w:pPr>
        <w:pStyle w:val="Odstavecseseznamem"/>
        <w:numPr>
          <w:ilvl w:val="0"/>
          <w:numId w:val="2"/>
        </w:numPr>
        <w:ind w:left="709" w:hanging="283"/>
        <w:contextualSpacing w:val="0"/>
        <w:rPr>
          <w:sz w:val="22"/>
          <w:szCs w:val="22"/>
        </w:rPr>
      </w:pPr>
      <w:r w:rsidRPr="0041239C">
        <w:rPr>
          <w:sz w:val="22"/>
          <w:szCs w:val="22"/>
        </w:rPr>
        <w:t xml:space="preserve">Navržení EPS (Elektronická požární signalizace) se signalizací na </w:t>
      </w:r>
      <w:r w:rsidR="00817095">
        <w:rPr>
          <w:sz w:val="22"/>
          <w:szCs w:val="22"/>
        </w:rPr>
        <w:t>energetický dispečink</w:t>
      </w:r>
      <w:r w:rsidR="00817095" w:rsidRPr="0041239C">
        <w:rPr>
          <w:sz w:val="22"/>
          <w:szCs w:val="22"/>
        </w:rPr>
        <w:t xml:space="preserve"> </w:t>
      </w:r>
      <w:r w:rsidRPr="0041239C">
        <w:rPr>
          <w:sz w:val="22"/>
          <w:szCs w:val="22"/>
        </w:rPr>
        <w:t xml:space="preserve">pomocí dálkového ovládání (SAIA) a </w:t>
      </w:r>
      <w:r w:rsidR="00817095">
        <w:rPr>
          <w:sz w:val="22"/>
          <w:szCs w:val="22"/>
        </w:rPr>
        <w:t xml:space="preserve">integrací do grafické nadstavby SBI </w:t>
      </w:r>
      <w:r w:rsidRPr="0041239C">
        <w:rPr>
          <w:sz w:val="22"/>
          <w:szCs w:val="22"/>
        </w:rPr>
        <w:t>(dle standardu DPO a.s.).</w:t>
      </w:r>
    </w:p>
    <w:p w14:paraId="167EE731" w14:textId="77777777" w:rsidR="00472E08" w:rsidRPr="0041239C" w:rsidRDefault="00472E08" w:rsidP="0041239C">
      <w:pPr>
        <w:pStyle w:val="Odstavecseseznamem"/>
        <w:rPr>
          <w:sz w:val="22"/>
          <w:szCs w:val="22"/>
        </w:rPr>
      </w:pPr>
    </w:p>
    <w:p w14:paraId="0A1BF5FD" w14:textId="2601C566" w:rsidR="00CE22A3" w:rsidRPr="0041239C" w:rsidRDefault="00CE22A3" w:rsidP="00CE22A3">
      <w:pPr>
        <w:pStyle w:val="Odstavecseseznamem"/>
        <w:numPr>
          <w:ilvl w:val="0"/>
          <w:numId w:val="2"/>
        </w:numPr>
        <w:ind w:left="709" w:hanging="283"/>
        <w:contextualSpacing w:val="0"/>
        <w:rPr>
          <w:sz w:val="22"/>
          <w:szCs w:val="22"/>
        </w:rPr>
      </w:pPr>
      <w:r w:rsidRPr="0041239C">
        <w:rPr>
          <w:sz w:val="22"/>
          <w:szCs w:val="22"/>
        </w:rPr>
        <w:t>Navržení komunikace a vyčítání dat z hlavního měření do systému AISYS (energetický informační systém) se signalizací na EDDP pomocí systému AISYS (dle standardu DPO a.s.).</w:t>
      </w:r>
    </w:p>
    <w:p w14:paraId="11FA606E" w14:textId="77777777" w:rsidR="00CA1A62" w:rsidRPr="0041239C" w:rsidRDefault="00CA1A62" w:rsidP="00CA1A62">
      <w:pPr>
        <w:rPr>
          <w:strike/>
          <w:sz w:val="22"/>
          <w:szCs w:val="22"/>
        </w:rPr>
      </w:pPr>
    </w:p>
    <w:p w14:paraId="4D520A6A" w14:textId="77777777" w:rsidR="00CA1A62" w:rsidRPr="0041239C" w:rsidRDefault="00CA1A62" w:rsidP="00CA1A62">
      <w:pPr>
        <w:pStyle w:val="Odstavecseseznamem"/>
        <w:numPr>
          <w:ilvl w:val="0"/>
          <w:numId w:val="2"/>
        </w:numPr>
        <w:ind w:left="709" w:hanging="283"/>
        <w:contextualSpacing w:val="0"/>
        <w:rPr>
          <w:sz w:val="22"/>
          <w:szCs w:val="22"/>
        </w:rPr>
      </w:pPr>
      <w:r w:rsidRPr="0041239C">
        <w:rPr>
          <w:sz w:val="22"/>
          <w:szCs w:val="22"/>
        </w:rPr>
        <w:t>Odporové spotřebiče (elektrické topení, topné kabely), které slouží pro vytápění, bude možno dálkově vypínat z energetického informačního systému AISYS v době energetických špiček.</w:t>
      </w:r>
    </w:p>
    <w:p w14:paraId="5F667606" w14:textId="77777777" w:rsidR="00CA1A62" w:rsidRPr="0041239C" w:rsidRDefault="00CA1A62" w:rsidP="00CA1A62">
      <w:pPr>
        <w:rPr>
          <w:sz w:val="22"/>
          <w:szCs w:val="22"/>
        </w:rPr>
      </w:pPr>
    </w:p>
    <w:p w14:paraId="78CAA522" w14:textId="51BD5716" w:rsidR="00CA1A62" w:rsidRDefault="00CA1A62" w:rsidP="00CA1A62">
      <w:pPr>
        <w:pStyle w:val="Odstavecseseznamem"/>
        <w:numPr>
          <w:ilvl w:val="0"/>
          <w:numId w:val="2"/>
        </w:numPr>
        <w:ind w:left="709" w:hanging="283"/>
        <w:contextualSpacing w:val="0"/>
        <w:rPr>
          <w:sz w:val="22"/>
          <w:szCs w:val="22"/>
        </w:rPr>
      </w:pPr>
      <w:r w:rsidRPr="0041239C">
        <w:rPr>
          <w:sz w:val="22"/>
          <w:szCs w:val="22"/>
        </w:rPr>
        <w:t>Navrhnutí rozvaděče vlastní spotřeby dle nového projektu elektroinstalace, včetně oddělovacího transformátoru cizího zdroje</w:t>
      </w:r>
    </w:p>
    <w:p w14:paraId="392C91DB" w14:textId="77777777" w:rsidR="009C1B8D" w:rsidRPr="00FB7B29" w:rsidRDefault="009C1B8D" w:rsidP="00FB7B29">
      <w:pPr>
        <w:pStyle w:val="Odstavecseseznamem"/>
        <w:rPr>
          <w:sz w:val="22"/>
          <w:szCs w:val="22"/>
        </w:rPr>
      </w:pPr>
    </w:p>
    <w:p w14:paraId="67C2D9DB" w14:textId="101F3E82" w:rsidR="009C1B8D" w:rsidRDefault="009C1B8D" w:rsidP="00CA1A62">
      <w:pPr>
        <w:pStyle w:val="Odstavecseseznamem"/>
        <w:numPr>
          <w:ilvl w:val="0"/>
          <w:numId w:val="2"/>
        </w:numPr>
        <w:ind w:left="709" w:hanging="283"/>
        <w:contextualSpacing w:val="0"/>
        <w:rPr>
          <w:sz w:val="22"/>
          <w:szCs w:val="22"/>
        </w:rPr>
      </w:pPr>
      <w:r>
        <w:rPr>
          <w:sz w:val="22"/>
          <w:szCs w:val="22"/>
        </w:rPr>
        <w:t>Navržení datového rozváděče pro ukončení datové linky a navržení ukončení tel. linky. Včetně připojení k technologii měnírny a telefonní zásuvky.</w:t>
      </w:r>
      <w:r w:rsidR="00C335A8">
        <w:rPr>
          <w:sz w:val="22"/>
          <w:szCs w:val="22"/>
        </w:rPr>
        <w:t xml:space="preserve"> (určení místa instalace zařízení externích poskytovatelů CETIN, O2)</w:t>
      </w:r>
    </w:p>
    <w:p w14:paraId="5C3E9751" w14:textId="77777777" w:rsidR="009C1B8D" w:rsidRPr="00FB7B29" w:rsidRDefault="009C1B8D" w:rsidP="00FB7B29">
      <w:pPr>
        <w:pStyle w:val="Odstavecseseznamem"/>
        <w:rPr>
          <w:sz w:val="22"/>
          <w:szCs w:val="22"/>
        </w:rPr>
      </w:pPr>
    </w:p>
    <w:p w14:paraId="7A7E598E" w14:textId="543EEBB1" w:rsidR="009C1B8D" w:rsidRDefault="009C1B8D" w:rsidP="00CA1A62">
      <w:pPr>
        <w:pStyle w:val="Odstavecseseznamem"/>
        <w:numPr>
          <w:ilvl w:val="0"/>
          <w:numId w:val="2"/>
        </w:numPr>
        <w:ind w:left="709" w:hanging="283"/>
        <w:contextualSpacing w:val="0"/>
        <w:rPr>
          <w:sz w:val="22"/>
          <w:szCs w:val="22"/>
        </w:rPr>
      </w:pPr>
      <w:r>
        <w:rPr>
          <w:sz w:val="22"/>
          <w:szCs w:val="22"/>
        </w:rPr>
        <w:t xml:space="preserve">Navržení všech přeložek inženýrských sítí – přívodní linky 22kV, </w:t>
      </w:r>
      <w:r w:rsidR="005D568A">
        <w:rPr>
          <w:sz w:val="22"/>
          <w:szCs w:val="22"/>
        </w:rPr>
        <w:t xml:space="preserve">přívod cizího zdroje 400V, telefonní a datová linka, </w:t>
      </w:r>
      <w:r>
        <w:rPr>
          <w:sz w:val="22"/>
          <w:szCs w:val="22"/>
        </w:rPr>
        <w:t>přípojky kanalizace a vodovodu.</w:t>
      </w:r>
    </w:p>
    <w:p w14:paraId="112E0B35" w14:textId="77777777" w:rsidR="00CA1A62" w:rsidRPr="0041239C" w:rsidRDefault="00CA1A62" w:rsidP="00CA1A62">
      <w:pPr>
        <w:rPr>
          <w:sz w:val="22"/>
          <w:szCs w:val="22"/>
        </w:rPr>
      </w:pPr>
    </w:p>
    <w:p w14:paraId="6269A9B9" w14:textId="77777777" w:rsidR="00CA1A62" w:rsidRPr="0041239C" w:rsidRDefault="00CA1A62" w:rsidP="00CA1A62">
      <w:pPr>
        <w:pStyle w:val="Odstavecseseznamem"/>
        <w:numPr>
          <w:ilvl w:val="0"/>
          <w:numId w:val="1"/>
        </w:numPr>
        <w:ind w:left="709" w:hanging="284"/>
        <w:contextualSpacing w:val="0"/>
        <w:rPr>
          <w:sz w:val="22"/>
          <w:szCs w:val="22"/>
        </w:rPr>
      </w:pPr>
      <w:r w:rsidRPr="0041239C">
        <w:rPr>
          <w:sz w:val="22"/>
          <w:szCs w:val="22"/>
        </w:rPr>
        <w:t>Stavba nové budovy v potřebných rozměrech pro doplnění nové technologie a minimálně v tomto rozsahu:</w:t>
      </w:r>
    </w:p>
    <w:p w14:paraId="0AA10FF4" w14:textId="77777777" w:rsidR="00CA1A62" w:rsidRPr="0041239C" w:rsidRDefault="00CA1A62" w:rsidP="00CA1A62">
      <w:pPr>
        <w:pStyle w:val="Odstavecseseznamem"/>
        <w:ind w:left="709"/>
        <w:contextualSpacing w:val="0"/>
        <w:rPr>
          <w:sz w:val="22"/>
          <w:szCs w:val="22"/>
        </w:rPr>
      </w:pPr>
    </w:p>
    <w:p w14:paraId="5FEDACC6" w14:textId="34D7C73C" w:rsidR="00CA1A62" w:rsidRPr="0041239C" w:rsidRDefault="00CA1A62" w:rsidP="00CA1A62">
      <w:pPr>
        <w:pStyle w:val="Odstavecseseznamem"/>
        <w:numPr>
          <w:ilvl w:val="0"/>
          <w:numId w:val="3"/>
        </w:numPr>
        <w:ind w:left="1276" w:hanging="425"/>
        <w:contextualSpacing w:val="0"/>
        <w:rPr>
          <w:sz w:val="22"/>
          <w:szCs w:val="22"/>
        </w:rPr>
      </w:pPr>
      <w:r w:rsidRPr="0041239C">
        <w:rPr>
          <w:sz w:val="22"/>
          <w:szCs w:val="22"/>
        </w:rPr>
        <w:t>Navržení nové budovy s dostatečnými parametry pro umístění nové technologie a sociálního zázemí údržby</w:t>
      </w:r>
    </w:p>
    <w:p w14:paraId="3C0A1D6B" w14:textId="55031F43" w:rsidR="00CA1A62" w:rsidRPr="0041239C" w:rsidRDefault="00CA1A62" w:rsidP="00CA1A62">
      <w:pPr>
        <w:pStyle w:val="Odstavecseseznamem"/>
        <w:numPr>
          <w:ilvl w:val="0"/>
          <w:numId w:val="3"/>
        </w:numPr>
        <w:ind w:left="1276" w:hanging="425"/>
        <w:contextualSpacing w:val="0"/>
        <w:rPr>
          <w:sz w:val="22"/>
          <w:szCs w:val="22"/>
        </w:rPr>
      </w:pPr>
      <w:r w:rsidRPr="0041239C">
        <w:rPr>
          <w:sz w:val="22"/>
          <w:szCs w:val="22"/>
        </w:rPr>
        <w:t>Navržení sociálního zařízení pro pracovní četu údržby</w:t>
      </w:r>
      <w:r w:rsidR="00A8682F">
        <w:rPr>
          <w:sz w:val="22"/>
          <w:szCs w:val="22"/>
        </w:rPr>
        <w:t xml:space="preserve"> (WC, sprcha)</w:t>
      </w:r>
      <w:r w:rsidRPr="0041239C">
        <w:rPr>
          <w:sz w:val="22"/>
          <w:szCs w:val="22"/>
        </w:rPr>
        <w:t>, včetně služební místnosti</w:t>
      </w:r>
    </w:p>
    <w:p w14:paraId="6B176484" w14:textId="77777777" w:rsidR="00CA1A62" w:rsidRPr="0041239C" w:rsidRDefault="00CA1A62" w:rsidP="00CA1A62">
      <w:pPr>
        <w:pStyle w:val="Odstavecseseznamem"/>
        <w:numPr>
          <w:ilvl w:val="0"/>
          <w:numId w:val="3"/>
        </w:numPr>
        <w:ind w:left="1276" w:hanging="425"/>
        <w:contextualSpacing w:val="0"/>
        <w:rPr>
          <w:sz w:val="22"/>
          <w:szCs w:val="22"/>
        </w:rPr>
      </w:pPr>
      <w:r w:rsidRPr="0041239C">
        <w:rPr>
          <w:sz w:val="22"/>
          <w:szCs w:val="22"/>
        </w:rPr>
        <w:t>Kabelový prostor s dostačujícím počtem kabelových prostupu včetně rezervních a hydroizolačně uzavřených. (hydroizolační průchodky a ucpávky)</w:t>
      </w:r>
    </w:p>
    <w:p w14:paraId="7B780333" w14:textId="77777777" w:rsidR="00CA1A62" w:rsidRPr="0041239C" w:rsidRDefault="00CA1A62" w:rsidP="00CA1A62">
      <w:pPr>
        <w:pStyle w:val="Odstavecseseznamem"/>
        <w:numPr>
          <w:ilvl w:val="0"/>
          <w:numId w:val="3"/>
        </w:numPr>
        <w:ind w:left="1276" w:hanging="425"/>
        <w:contextualSpacing w:val="0"/>
        <w:rPr>
          <w:sz w:val="22"/>
          <w:szCs w:val="22"/>
        </w:rPr>
      </w:pPr>
      <w:r w:rsidRPr="0041239C">
        <w:rPr>
          <w:sz w:val="22"/>
          <w:szCs w:val="22"/>
        </w:rPr>
        <w:t>Vyprojektování zpevněných ploch pro snadný přístup obsluhy i dovoz materiálů a technologických prvků.</w:t>
      </w:r>
    </w:p>
    <w:p w14:paraId="461FC76B" w14:textId="77777777" w:rsidR="00CA1A62" w:rsidRPr="0041239C" w:rsidRDefault="00CA1A62" w:rsidP="00CA1A62">
      <w:pPr>
        <w:pStyle w:val="Odstavecseseznamem"/>
        <w:numPr>
          <w:ilvl w:val="0"/>
          <w:numId w:val="3"/>
        </w:numPr>
        <w:ind w:left="1276" w:hanging="425"/>
        <w:contextualSpacing w:val="0"/>
        <w:rPr>
          <w:sz w:val="22"/>
          <w:szCs w:val="22"/>
        </w:rPr>
      </w:pPr>
      <w:r w:rsidRPr="0041239C">
        <w:rPr>
          <w:sz w:val="22"/>
          <w:szCs w:val="22"/>
        </w:rPr>
        <w:t xml:space="preserve">Navržení elektroinstalace celé budovy včetně </w:t>
      </w:r>
      <w:proofErr w:type="spellStart"/>
      <w:proofErr w:type="gramStart"/>
      <w:r w:rsidRPr="0041239C">
        <w:rPr>
          <w:sz w:val="22"/>
          <w:szCs w:val="22"/>
        </w:rPr>
        <w:t>el</w:t>
      </w:r>
      <w:proofErr w:type="gramEnd"/>
      <w:r w:rsidRPr="0041239C">
        <w:rPr>
          <w:sz w:val="22"/>
          <w:szCs w:val="22"/>
        </w:rPr>
        <w:t>.</w:t>
      </w:r>
      <w:proofErr w:type="gramStart"/>
      <w:r w:rsidRPr="0041239C">
        <w:rPr>
          <w:sz w:val="22"/>
          <w:szCs w:val="22"/>
        </w:rPr>
        <w:t>vytápění</w:t>
      </w:r>
      <w:proofErr w:type="spellEnd"/>
      <w:proofErr w:type="gramEnd"/>
    </w:p>
    <w:p w14:paraId="4C323281" w14:textId="4E0A58F6" w:rsidR="00CA1A62" w:rsidRPr="0041239C" w:rsidRDefault="00CA1A62" w:rsidP="00CA1A62">
      <w:pPr>
        <w:pStyle w:val="Odstavecseseznamem"/>
        <w:numPr>
          <w:ilvl w:val="0"/>
          <w:numId w:val="3"/>
        </w:numPr>
        <w:ind w:left="1276" w:hanging="425"/>
        <w:contextualSpacing w:val="0"/>
        <w:rPr>
          <w:sz w:val="22"/>
          <w:szCs w:val="22"/>
        </w:rPr>
      </w:pPr>
      <w:r w:rsidRPr="0041239C">
        <w:rPr>
          <w:sz w:val="22"/>
          <w:szCs w:val="22"/>
        </w:rPr>
        <w:t>Vyprojektování vzduchotechniky</w:t>
      </w:r>
      <w:r w:rsidR="00092ED3">
        <w:rPr>
          <w:sz w:val="22"/>
          <w:szCs w:val="22"/>
        </w:rPr>
        <w:t xml:space="preserve"> </w:t>
      </w:r>
      <w:r w:rsidRPr="0041239C">
        <w:rPr>
          <w:sz w:val="22"/>
          <w:szCs w:val="22"/>
        </w:rPr>
        <w:t xml:space="preserve">a automatického větrání se samo uzavíráním a řízením dle teploty ve </w:t>
      </w:r>
      <w:bookmarkStart w:id="0" w:name="_GoBack"/>
      <w:bookmarkEnd w:id="0"/>
      <w:r w:rsidR="00092ED3">
        <w:rPr>
          <w:sz w:val="22"/>
          <w:szCs w:val="22"/>
        </w:rPr>
        <w:t>VN</w:t>
      </w:r>
      <w:r w:rsidR="00092ED3" w:rsidRPr="0041239C">
        <w:rPr>
          <w:sz w:val="22"/>
          <w:szCs w:val="22"/>
        </w:rPr>
        <w:t xml:space="preserve"> </w:t>
      </w:r>
      <w:r w:rsidRPr="0041239C">
        <w:rPr>
          <w:sz w:val="22"/>
          <w:szCs w:val="22"/>
        </w:rPr>
        <w:t xml:space="preserve">i </w:t>
      </w:r>
      <w:proofErr w:type="spellStart"/>
      <w:proofErr w:type="gramStart"/>
      <w:r w:rsidR="00092ED3">
        <w:rPr>
          <w:sz w:val="22"/>
          <w:szCs w:val="22"/>
        </w:rPr>
        <w:t>NN</w:t>
      </w:r>
      <w:proofErr w:type="gramEnd"/>
      <w:r w:rsidRPr="0041239C">
        <w:rPr>
          <w:sz w:val="22"/>
          <w:szCs w:val="22"/>
        </w:rPr>
        <w:t>.</w:t>
      </w:r>
      <w:proofErr w:type="gramStart"/>
      <w:r w:rsidRPr="0041239C">
        <w:rPr>
          <w:sz w:val="22"/>
          <w:szCs w:val="22"/>
        </w:rPr>
        <w:t>části</w:t>
      </w:r>
      <w:proofErr w:type="spellEnd"/>
      <w:proofErr w:type="gramEnd"/>
      <w:r w:rsidRPr="0041239C">
        <w:rPr>
          <w:sz w:val="22"/>
          <w:szCs w:val="22"/>
        </w:rPr>
        <w:t xml:space="preserve"> s možností ručního ovládání</w:t>
      </w:r>
    </w:p>
    <w:p w14:paraId="3CC86883" w14:textId="77777777" w:rsidR="00CA1A62" w:rsidRPr="0041239C" w:rsidRDefault="00CA1A62" w:rsidP="00CA1A62">
      <w:pPr>
        <w:pStyle w:val="Odstavecseseznamem"/>
        <w:numPr>
          <w:ilvl w:val="0"/>
          <w:numId w:val="3"/>
        </w:numPr>
        <w:ind w:left="1276" w:hanging="425"/>
        <w:contextualSpacing w:val="0"/>
        <w:rPr>
          <w:sz w:val="22"/>
          <w:szCs w:val="22"/>
        </w:rPr>
      </w:pPr>
      <w:r w:rsidRPr="0041239C">
        <w:rPr>
          <w:sz w:val="22"/>
          <w:szCs w:val="22"/>
        </w:rPr>
        <w:t>Navržení interiérových úprav zdiva</w:t>
      </w:r>
    </w:p>
    <w:p w14:paraId="6F5E47C6" w14:textId="77777777" w:rsidR="00CA1A62" w:rsidRPr="0041239C" w:rsidRDefault="00CA1A62" w:rsidP="00CA1A62">
      <w:pPr>
        <w:pStyle w:val="Odstavecseseznamem"/>
        <w:numPr>
          <w:ilvl w:val="0"/>
          <w:numId w:val="3"/>
        </w:numPr>
        <w:ind w:left="1276" w:hanging="425"/>
        <w:contextualSpacing w:val="0"/>
        <w:rPr>
          <w:sz w:val="22"/>
          <w:szCs w:val="22"/>
        </w:rPr>
      </w:pPr>
      <w:r w:rsidRPr="0041239C">
        <w:rPr>
          <w:sz w:val="22"/>
          <w:szCs w:val="22"/>
        </w:rPr>
        <w:t>Navržení exteriérových úprav zdiva</w:t>
      </w:r>
    </w:p>
    <w:p w14:paraId="0EF45D23" w14:textId="77777777" w:rsidR="00CA1A62" w:rsidRPr="0041239C" w:rsidRDefault="00CA1A62" w:rsidP="00CA1A62">
      <w:pPr>
        <w:pStyle w:val="Odstavecseseznamem"/>
        <w:numPr>
          <w:ilvl w:val="0"/>
          <w:numId w:val="3"/>
        </w:numPr>
        <w:ind w:left="1276" w:hanging="425"/>
        <w:contextualSpacing w:val="0"/>
        <w:rPr>
          <w:sz w:val="22"/>
          <w:szCs w:val="22"/>
        </w:rPr>
      </w:pPr>
      <w:r w:rsidRPr="0041239C">
        <w:rPr>
          <w:sz w:val="22"/>
          <w:szCs w:val="22"/>
        </w:rPr>
        <w:t>Navržení kabelových lávek a zámečnických konstrukcí včetně jejich povrchové úpravy</w:t>
      </w:r>
    </w:p>
    <w:p w14:paraId="4FA5B1E6" w14:textId="77777777" w:rsidR="00CA1A62" w:rsidRPr="0041239C" w:rsidRDefault="00CA1A62" w:rsidP="00CA1A62">
      <w:pPr>
        <w:pStyle w:val="Odstavecseseznamem"/>
        <w:numPr>
          <w:ilvl w:val="0"/>
          <w:numId w:val="3"/>
        </w:numPr>
        <w:ind w:left="1276" w:hanging="425"/>
        <w:contextualSpacing w:val="0"/>
        <w:rPr>
          <w:sz w:val="22"/>
          <w:szCs w:val="22"/>
        </w:rPr>
      </w:pPr>
      <w:r w:rsidRPr="0041239C">
        <w:rPr>
          <w:sz w:val="22"/>
          <w:szCs w:val="22"/>
        </w:rPr>
        <w:t>Navržení okenních otvorů v provedení „</w:t>
      </w:r>
      <w:proofErr w:type="spellStart"/>
      <w:r w:rsidRPr="0041239C">
        <w:rPr>
          <w:sz w:val="22"/>
          <w:szCs w:val="22"/>
        </w:rPr>
        <w:t>antivandal</w:t>
      </w:r>
      <w:proofErr w:type="spellEnd"/>
      <w:r w:rsidRPr="0041239C">
        <w:rPr>
          <w:sz w:val="22"/>
          <w:szCs w:val="22"/>
        </w:rPr>
        <w:t xml:space="preserve">“ </w:t>
      </w:r>
    </w:p>
    <w:p w14:paraId="22A6A883" w14:textId="77777777" w:rsidR="00CA1A62" w:rsidRPr="0041239C" w:rsidRDefault="00CA1A62" w:rsidP="00CA1A62">
      <w:pPr>
        <w:pStyle w:val="Odstavecseseznamem"/>
        <w:numPr>
          <w:ilvl w:val="0"/>
          <w:numId w:val="3"/>
        </w:numPr>
        <w:ind w:left="1276" w:hanging="425"/>
        <w:contextualSpacing w:val="0"/>
        <w:rPr>
          <w:sz w:val="22"/>
          <w:szCs w:val="22"/>
        </w:rPr>
      </w:pPr>
      <w:r w:rsidRPr="0041239C">
        <w:rPr>
          <w:sz w:val="22"/>
          <w:szCs w:val="22"/>
        </w:rPr>
        <w:t>Navržení střešní krytiny, střešních okapů a svodů včetně způsobu odvádění dešťové vody</w:t>
      </w:r>
    </w:p>
    <w:p w14:paraId="6E9B68E7" w14:textId="77777777" w:rsidR="00CA1A62" w:rsidRPr="0041239C" w:rsidRDefault="00CA1A62" w:rsidP="00CA1A62">
      <w:pPr>
        <w:pStyle w:val="Odstavecseseznamem"/>
        <w:ind w:left="1276"/>
        <w:contextualSpacing w:val="0"/>
        <w:rPr>
          <w:sz w:val="22"/>
          <w:szCs w:val="22"/>
        </w:rPr>
      </w:pPr>
    </w:p>
    <w:p w14:paraId="35AA86F2" w14:textId="77777777" w:rsidR="00CA1A62" w:rsidRPr="0041239C" w:rsidRDefault="00CA1A62" w:rsidP="00CA1A62">
      <w:pPr>
        <w:pStyle w:val="Odstavecseseznamem"/>
        <w:numPr>
          <w:ilvl w:val="0"/>
          <w:numId w:val="1"/>
        </w:numPr>
        <w:ind w:left="709" w:hanging="284"/>
        <w:contextualSpacing w:val="0"/>
        <w:rPr>
          <w:sz w:val="22"/>
          <w:szCs w:val="22"/>
        </w:rPr>
      </w:pPr>
      <w:r w:rsidRPr="0041239C">
        <w:rPr>
          <w:sz w:val="22"/>
          <w:szCs w:val="22"/>
        </w:rPr>
        <w:t>Zpracování požárně bezpečnostního řešení celého objektu budovy</w:t>
      </w:r>
    </w:p>
    <w:p w14:paraId="69F77965" w14:textId="77777777" w:rsidR="00567FA5" w:rsidRPr="0041239C" w:rsidRDefault="00CA1A62" w:rsidP="00CA1A62">
      <w:pPr>
        <w:pStyle w:val="Odstavecseseznamem"/>
        <w:ind w:left="1134" w:hanging="283"/>
      </w:pPr>
      <w:r w:rsidRPr="0041239C">
        <w:rPr>
          <w:sz w:val="22"/>
          <w:szCs w:val="22"/>
        </w:rPr>
        <w:t xml:space="preserve">- </w:t>
      </w:r>
      <w:r w:rsidRPr="0041239C">
        <w:rPr>
          <w:sz w:val="22"/>
          <w:szCs w:val="22"/>
        </w:rPr>
        <w:tab/>
        <w:t>Zapracovat požadavky vyplývající z požárně bezpečnostního řešení, požární přepážky, dveře, ucpávky, poklopy do projektu včetně únikových tras</w:t>
      </w:r>
    </w:p>
    <w:p w14:paraId="475224BF" w14:textId="77777777" w:rsidR="00CA1A62" w:rsidRPr="0041239C" w:rsidRDefault="00CA1A62" w:rsidP="00CA1A62">
      <w:pPr>
        <w:pStyle w:val="Odstavecseseznamem"/>
        <w:ind w:left="1134" w:hanging="283"/>
        <w:rPr>
          <w:sz w:val="22"/>
          <w:szCs w:val="22"/>
        </w:rPr>
      </w:pPr>
    </w:p>
    <w:p w14:paraId="49820CE1" w14:textId="355899F7" w:rsidR="00CA1A62" w:rsidRPr="0041239C" w:rsidRDefault="00CA1A62" w:rsidP="00CA1A62">
      <w:pPr>
        <w:pStyle w:val="Odstavecseseznamem"/>
        <w:numPr>
          <w:ilvl w:val="0"/>
          <w:numId w:val="1"/>
        </w:numPr>
        <w:ind w:left="709" w:hanging="284"/>
        <w:contextualSpacing w:val="0"/>
        <w:rPr>
          <w:sz w:val="22"/>
          <w:szCs w:val="22"/>
        </w:rPr>
      </w:pPr>
      <w:r w:rsidRPr="0041239C">
        <w:rPr>
          <w:sz w:val="22"/>
          <w:szCs w:val="22"/>
        </w:rPr>
        <w:t>Provedení veškerých potřebných stavebně technických průzkumů nutných ke zpracování PD.</w:t>
      </w:r>
    </w:p>
    <w:p w14:paraId="231765C2" w14:textId="77777777" w:rsidR="00CA1A62" w:rsidRPr="0041239C" w:rsidRDefault="00CA1A62" w:rsidP="00CA1A62">
      <w:pPr>
        <w:pStyle w:val="Odstavecseseznamem"/>
        <w:ind w:left="709"/>
        <w:contextualSpacing w:val="0"/>
        <w:rPr>
          <w:sz w:val="22"/>
          <w:szCs w:val="22"/>
        </w:rPr>
      </w:pPr>
    </w:p>
    <w:p w14:paraId="269EB7BA" w14:textId="02617A8C" w:rsidR="00CA1A62" w:rsidRPr="0041239C" w:rsidRDefault="00CA1A62" w:rsidP="00CA1A62">
      <w:pPr>
        <w:pStyle w:val="Odstavecseseznamem"/>
        <w:numPr>
          <w:ilvl w:val="0"/>
          <w:numId w:val="1"/>
        </w:numPr>
        <w:contextualSpacing w:val="0"/>
        <w:rPr>
          <w:sz w:val="22"/>
          <w:szCs w:val="22"/>
        </w:rPr>
      </w:pPr>
      <w:r w:rsidRPr="0041239C">
        <w:rPr>
          <w:sz w:val="22"/>
          <w:szCs w:val="22"/>
        </w:rPr>
        <w:t>Zpracování rozpočtu a soupisu prací vč. výkazu výměr pro všechny SO a PS včetně slepého pro zadávací dokumentaci pro výběr zhotovitele, který bude zpracován v souladu s vyhláškou č. 169/2016 Sb., o stanovení rozsahu dokumentace veřejné zakázky na stavební práce a soupisu stavebních prací, dodávek a služeb s výkazem výměr</w:t>
      </w:r>
    </w:p>
    <w:p w14:paraId="31FB2FC4" w14:textId="007EAC99" w:rsidR="00CA1A62" w:rsidRPr="0041239C" w:rsidRDefault="00CA1A62" w:rsidP="00CA1A62">
      <w:pPr>
        <w:pStyle w:val="Odstavecseseznamem"/>
        <w:numPr>
          <w:ilvl w:val="0"/>
          <w:numId w:val="6"/>
        </w:numPr>
        <w:ind w:left="1134" w:hanging="283"/>
        <w:contextualSpacing w:val="0"/>
        <w:rPr>
          <w:sz w:val="22"/>
          <w:szCs w:val="22"/>
        </w:rPr>
      </w:pPr>
      <w:r w:rsidRPr="0041239C">
        <w:rPr>
          <w:sz w:val="22"/>
          <w:szCs w:val="22"/>
        </w:rPr>
        <w:t xml:space="preserve">soupis prací bude obsahovat odkazy výpočet předpokládaného množství položky a odkaz na příslušnou grafickou nebo textovou část dokumentace </w:t>
      </w:r>
    </w:p>
    <w:p w14:paraId="11408750" w14:textId="77777777" w:rsidR="00CA1A62" w:rsidRPr="0041239C" w:rsidRDefault="00CA1A62" w:rsidP="00CA1A62">
      <w:pPr>
        <w:pStyle w:val="Odstavecseseznamem"/>
        <w:numPr>
          <w:ilvl w:val="0"/>
          <w:numId w:val="6"/>
        </w:numPr>
        <w:ind w:left="1134" w:hanging="283"/>
        <w:contextualSpacing w:val="0"/>
        <w:rPr>
          <w:sz w:val="22"/>
          <w:szCs w:val="22"/>
        </w:rPr>
      </w:pPr>
      <w:r w:rsidRPr="0041239C">
        <w:rPr>
          <w:sz w:val="22"/>
          <w:szCs w:val="22"/>
        </w:rPr>
        <w:t xml:space="preserve">v soupisu prací uvést i ochranné pomůcky pro obsluhu (např.: dielektrické rukavice, zkratovací soupravy, ovládací tyče, klíče a zamykací příslušenství k odpojovačům apod.) včetně dielektrických koberců u každého </w:t>
      </w:r>
      <w:proofErr w:type="spellStart"/>
      <w:proofErr w:type="gramStart"/>
      <w:r w:rsidRPr="0041239C">
        <w:rPr>
          <w:sz w:val="22"/>
          <w:szCs w:val="22"/>
        </w:rPr>
        <w:t>el</w:t>
      </w:r>
      <w:proofErr w:type="gramEnd"/>
      <w:r w:rsidRPr="0041239C">
        <w:rPr>
          <w:sz w:val="22"/>
          <w:szCs w:val="22"/>
        </w:rPr>
        <w:t>.</w:t>
      </w:r>
      <w:proofErr w:type="gramStart"/>
      <w:r w:rsidRPr="0041239C">
        <w:rPr>
          <w:sz w:val="22"/>
          <w:szCs w:val="22"/>
        </w:rPr>
        <w:t>zařízení</w:t>
      </w:r>
      <w:proofErr w:type="spellEnd"/>
      <w:proofErr w:type="gramEnd"/>
      <w:r w:rsidRPr="0041239C">
        <w:rPr>
          <w:sz w:val="22"/>
          <w:szCs w:val="22"/>
        </w:rPr>
        <w:t xml:space="preserve">, </w:t>
      </w:r>
    </w:p>
    <w:p w14:paraId="5EB89034" w14:textId="2D8C0DC1" w:rsidR="00CA1A62" w:rsidRPr="0041239C" w:rsidRDefault="00CA1A62" w:rsidP="00CA1A62">
      <w:pPr>
        <w:pStyle w:val="Odstavecseseznamem"/>
        <w:numPr>
          <w:ilvl w:val="0"/>
          <w:numId w:val="6"/>
        </w:numPr>
        <w:ind w:left="1134" w:hanging="283"/>
        <w:contextualSpacing w:val="0"/>
        <w:rPr>
          <w:sz w:val="22"/>
          <w:szCs w:val="22"/>
        </w:rPr>
      </w:pPr>
      <w:r w:rsidRPr="0041239C">
        <w:rPr>
          <w:sz w:val="22"/>
          <w:szCs w:val="22"/>
        </w:rPr>
        <w:t xml:space="preserve">náklady na požadavky, které nejsou součástí PD, ale vycházejí z technické zprávy a požadavků objednatele (měření EMC, revize, prohlídky a zkoušky zařízení UTZ, zajištění výluk u dodavatele el. </w:t>
      </w:r>
      <w:proofErr w:type="gramStart"/>
      <w:r w:rsidRPr="0041239C">
        <w:rPr>
          <w:sz w:val="22"/>
          <w:szCs w:val="22"/>
        </w:rPr>
        <w:t>energie</w:t>
      </w:r>
      <w:proofErr w:type="gramEnd"/>
      <w:r w:rsidRPr="0041239C">
        <w:rPr>
          <w:sz w:val="22"/>
          <w:szCs w:val="22"/>
        </w:rPr>
        <w:t>, zajištění změn průkazu způsobilosti apod.)</w:t>
      </w:r>
    </w:p>
    <w:p w14:paraId="70F87D9A" w14:textId="77777777" w:rsidR="00CA1A62" w:rsidRPr="0041239C" w:rsidRDefault="00CA1A62" w:rsidP="00CA1A62">
      <w:pPr>
        <w:pStyle w:val="Odstavecseseznamem"/>
        <w:ind w:left="1134"/>
        <w:contextualSpacing w:val="0"/>
        <w:rPr>
          <w:sz w:val="22"/>
          <w:szCs w:val="22"/>
        </w:rPr>
      </w:pPr>
    </w:p>
    <w:p w14:paraId="2660112B" w14:textId="44688F05" w:rsidR="00CA1A62" w:rsidRPr="0041239C" w:rsidRDefault="00CA1A62" w:rsidP="00CA1A62">
      <w:pPr>
        <w:pStyle w:val="Odstavecseseznamem"/>
        <w:numPr>
          <w:ilvl w:val="0"/>
          <w:numId w:val="1"/>
        </w:numPr>
        <w:ind w:left="709" w:hanging="284"/>
        <w:contextualSpacing w:val="0"/>
        <w:rPr>
          <w:sz w:val="22"/>
          <w:szCs w:val="22"/>
        </w:rPr>
      </w:pPr>
      <w:r w:rsidRPr="0041239C">
        <w:rPr>
          <w:sz w:val="22"/>
          <w:szCs w:val="22"/>
        </w:rPr>
        <w:t>Zajištění souhlasného stanoviska Hasičského záchranného sboru a Krajské hygienické stanice Moravskoslezského kraje, ČEZ, Drážního úřadu.</w:t>
      </w:r>
    </w:p>
    <w:p w14:paraId="3D3564CB" w14:textId="77777777" w:rsidR="00CA1A62" w:rsidRPr="0041239C" w:rsidRDefault="00CA1A62" w:rsidP="00CA1A62">
      <w:pPr>
        <w:pStyle w:val="Odstavecseseznamem"/>
        <w:ind w:left="709"/>
        <w:contextualSpacing w:val="0"/>
        <w:rPr>
          <w:sz w:val="22"/>
          <w:szCs w:val="22"/>
        </w:rPr>
      </w:pPr>
    </w:p>
    <w:p w14:paraId="4E7F68A6" w14:textId="045A51AB" w:rsidR="00CA1A62" w:rsidRPr="0041239C" w:rsidRDefault="00CA1A62" w:rsidP="00CA1A62">
      <w:pPr>
        <w:pStyle w:val="Odstavecseseznamem"/>
        <w:numPr>
          <w:ilvl w:val="0"/>
          <w:numId w:val="1"/>
        </w:numPr>
        <w:ind w:left="709" w:hanging="284"/>
        <w:contextualSpacing w:val="0"/>
        <w:rPr>
          <w:sz w:val="22"/>
          <w:szCs w:val="22"/>
        </w:rPr>
      </w:pPr>
      <w:r w:rsidRPr="0041239C">
        <w:rPr>
          <w:sz w:val="22"/>
          <w:szCs w:val="22"/>
        </w:rPr>
        <w:t>Zajištění souhrnného kladného stanoviska objednatele k PD.</w:t>
      </w:r>
    </w:p>
    <w:p w14:paraId="3001804A" w14:textId="77777777" w:rsidR="00781BC2" w:rsidRPr="0041239C" w:rsidRDefault="00781BC2" w:rsidP="00781BC2">
      <w:pPr>
        <w:pStyle w:val="Odstavecseseznamem"/>
        <w:rPr>
          <w:sz w:val="22"/>
          <w:szCs w:val="22"/>
        </w:rPr>
      </w:pPr>
    </w:p>
    <w:p w14:paraId="17FBC000" w14:textId="40B8A05C" w:rsidR="00781BC2" w:rsidRPr="0041239C" w:rsidRDefault="00781BC2" w:rsidP="00CA1A62">
      <w:pPr>
        <w:pStyle w:val="Odstavecseseznamem"/>
        <w:numPr>
          <w:ilvl w:val="0"/>
          <w:numId w:val="1"/>
        </w:numPr>
        <w:ind w:left="709" w:hanging="284"/>
        <w:contextualSpacing w:val="0"/>
        <w:rPr>
          <w:sz w:val="22"/>
          <w:szCs w:val="22"/>
        </w:rPr>
      </w:pPr>
      <w:r w:rsidRPr="0041239C">
        <w:rPr>
          <w:sz w:val="22"/>
          <w:szCs w:val="22"/>
        </w:rPr>
        <w:t>I</w:t>
      </w:r>
      <w:r w:rsidR="00D17D88">
        <w:rPr>
          <w:sz w:val="22"/>
          <w:szCs w:val="22"/>
        </w:rPr>
        <w:t>nženýrská činnost</w:t>
      </w:r>
      <w:r w:rsidR="00A46067">
        <w:rPr>
          <w:sz w:val="22"/>
          <w:szCs w:val="22"/>
        </w:rPr>
        <w:t xml:space="preserve"> včetně zajištění</w:t>
      </w:r>
      <w:r w:rsidRPr="0041239C">
        <w:rPr>
          <w:sz w:val="22"/>
          <w:szCs w:val="22"/>
        </w:rPr>
        <w:t xml:space="preserve"> </w:t>
      </w:r>
      <w:r w:rsidR="00A46067">
        <w:rPr>
          <w:sz w:val="22"/>
          <w:szCs w:val="22"/>
        </w:rPr>
        <w:t>územního rozhodnutí</w:t>
      </w:r>
      <w:r w:rsidR="00092ED3">
        <w:rPr>
          <w:sz w:val="22"/>
          <w:szCs w:val="22"/>
        </w:rPr>
        <w:t>, povolení k odstranění stavby</w:t>
      </w:r>
      <w:r w:rsidR="00A46067">
        <w:rPr>
          <w:sz w:val="22"/>
          <w:szCs w:val="22"/>
        </w:rPr>
        <w:t xml:space="preserve"> a </w:t>
      </w:r>
      <w:r w:rsidRPr="0041239C">
        <w:rPr>
          <w:sz w:val="22"/>
          <w:szCs w:val="22"/>
        </w:rPr>
        <w:t>stavební</w:t>
      </w:r>
      <w:r w:rsidR="00A46067">
        <w:rPr>
          <w:sz w:val="22"/>
          <w:szCs w:val="22"/>
        </w:rPr>
        <w:t>ho</w:t>
      </w:r>
      <w:r w:rsidRPr="0041239C">
        <w:rPr>
          <w:sz w:val="22"/>
          <w:szCs w:val="22"/>
        </w:rPr>
        <w:t xml:space="preserve"> povolení </w:t>
      </w:r>
    </w:p>
    <w:p w14:paraId="08DE93D5" w14:textId="77777777" w:rsidR="00CA1A62" w:rsidRDefault="00CA1A62" w:rsidP="00CA1A62">
      <w:pPr>
        <w:rPr>
          <w:sz w:val="22"/>
          <w:szCs w:val="22"/>
        </w:rPr>
      </w:pPr>
    </w:p>
    <w:p w14:paraId="5103CFE6" w14:textId="77777777" w:rsidR="00203037" w:rsidRDefault="00203037" w:rsidP="00203037">
      <w:pPr>
        <w:rPr>
          <w:sz w:val="22"/>
          <w:szCs w:val="22"/>
        </w:rPr>
      </w:pPr>
    </w:p>
    <w:sectPr w:rsidR="00203037" w:rsidSect="008F6DB6">
      <w:headerReference w:type="default" r:id="rId8"/>
      <w:pgSz w:w="11906" w:h="16838"/>
      <w:pgMar w:top="212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745253" w14:textId="77777777" w:rsidR="00C723C8" w:rsidRDefault="00C723C8" w:rsidP="00F254B2">
      <w:r>
        <w:separator/>
      </w:r>
    </w:p>
  </w:endnote>
  <w:endnote w:type="continuationSeparator" w:id="0">
    <w:p w14:paraId="28D8BC5D" w14:textId="77777777" w:rsidR="00C723C8" w:rsidRDefault="00C723C8" w:rsidP="00F25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1365BE" w14:textId="77777777" w:rsidR="00C723C8" w:rsidRDefault="00C723C8" w:rsidP="00F254B2">
      <w:r>
        <w:separator/>
      </w:r>
    </w:p>
  </w:footnote>
  <w:footnote w:type="continuationSeparator" w:id="0">
    <w:p w14:paraId="25AB930B" w14:textId="77777777" w:rsidR="00C723C8" w:rsidRDefault="00C723C8" w:rsidP="00F254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0C96B" w14:textId="671F3058" w:rsidR="00735463" w:rsidRDefault="00735463" w:rsidP="00735463">
    <w:pPr>
      <w:pStyle w:val="Zhlav"/>
      <w:tabs>
        <w:tab w:val="clear" w:pos="4536"/>
        <w:tab w:val="clear" w:pos="9072"/>
      </w:tabs>
      <w:jc w:val="left"/>
    </w:pPr>
    <w:r w:rsidRPr="00E952C4">
      <w:rPr>
        <w:noProof/>
      </w:rPr>
      <w:drawing>
        <wp:anchor distT="0" distB="0" distL="114300" distR="114300" simplePos="0" relativeHeight="251661312" behindDoc="0" locked="0" layoutInCell="1" allowOverlap="1" wp14:anchorId="308BDA00" wp14:editId="2EF46ADD">
          <wp:simplePos x="0" y="0"/>
          <wp:positionH relativeFrom="margin">
            <wp:align>right</wp:align>
          </wp:positionH>
          <wp:positionV relativeFrom="page">
            <wp:posOffset>552450</wp:posOffset>
          </wp:positionV>
          <wp:extent cx="2181225" cy="619125"/>
          <wp:effectExtent l="19050" t="0" r="9525" b="0"/>
          <wp:wrapSquare wrapText="bothSides"/>
          <wp:docPr id="8"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E952C4">
      <w:t xml:space="preserve">Příloha č. </w:t>
    </w:r>
    <w:r w:rsidR="00C30D4C">
      <w:t>5</w:t>
    </w:r>
    <w:r w:rsidR="00C30D4C" w:rsidRPr="00E952C4">
      <w:t xml:space="preserve"> </w:t>
    </w:r>
    <w:r w:rsidR="00D07B04">
      <w:t>ZD Technické požadavky na rozsah předmětu díla</w:t>
    </w:r>
  </w:p>
  <w:p w14:paraId="4CC40332" w14:textId="2098695F" w:rsidR="00514413" w:rsidRDefault="00735463" w:rsidP="00F254B2">
    <w:pPr>
      <w:pStyle w:val="Zhlav"/>
      <w:jc w:val="right"/>
      <w:rPr>
        <w:i/>
        <w:noProof/>
        <w:sz w:val="20"/>
        <w:szCs w:val="20"/>
      </w:rPr>
    </w:pPr>
    <w:r>
      <w:rPr>
        <w:i/>
        <w:noProof/>
        <w:sz w:val="20"/>
        <w:szCs w:val="20"/>
      </w:rPr>
      <w:drawing>
        <wp:anchor distT="0" distB="0" distL="114300" distR="114300" simplePos="0" relativeHeight="251659264" behindDoc="0" locked="0" layoutInCell="1" allowOverlap="1" wp14:anchorId="0800A43A" wp14:editId="47B9299C">
          <wp:simplePos x="0" y="0"/>
          <wp:positionH relativeFrom="page">
            <wp:posOffset>940435</wp:posOffset>
          </wp:positionH>
          <wp:positionV relativeFrom="page">
            <wp:posOffset>599440</wp:posOffset>
          </wp:positionV>
          <wp:extent cx="1866900" cy="504825"/>
          <wp:effectExtent l="19050" t="0" r="0" b="0"/>
          <wp:wrapSquare wrapText="bothSides"/>
          <wp:docPr id="10"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2"/>
                  <a:srcRect/>
                  <a:stretch>
                    <a:fillRect/>
                  </a:stretch>
                </pic:blipFill>
                <pic:spPr bwMode="auto">
                  <a:xfrm>
                    <a:off x="0" y="0"/>
                    <a:ext cx="1866900" cy="504825"/>
                  </a:xfrm>
                  <a:prstGeom prst="rect">
                    <a:avLst/>
                  </a:prstGeom>
                  <a:noFill/>
                  <a:ln w="9525">
                    <a:noFill/>
                    <a:miter lim="800000"/>
                    <a:headEnd/>
                    <a:tailEnd/>
                  </a:ln>
                </pic:spPr>
              </pic:pic>
            </a:graphicData>
          </a:graphic>
        </wp:anchor>
      </w:drawing>
    </w:r>
  </w:p>
  <w:p w14:paraId="16BB699C" w14:textId="77777777" w:rsidR="00514413" w:rsidRDefault="00514413" w:rsidP="00F254B2">
    <w:pPr>
      <w:pStyle w:val="Zhlav"/>
      <w:jc w:val="right"/>
      <w:rPr>
        <w:i/>
        <w:noProof/>
        <w:sz w:val="20"/>
        <w:szCs w:val="20"/>
      </w:rPr>
    </w:pPr>
  </w:p>
  <w:p w14:paraId="2ECF5459" w14:textId="3ADFA9CB" w:rsidR="00766257" w:rsidRDefault="00766257" w:rsidP="00F254B2">
    <w:pPr>
      <w:pStyle w:val="Zhlav"/>
      <w:jc w:val="right"/>
      <w:rPr>
        <w:i/>
        <w:sz w:val="20"/>
        <w:szCs w:val="20"/>
      </w:rPr>
    </w:pPr>
  </w:p>
  <w:p w14:paraId="62E3A988" w14:textId="77777777" w:rsidR="00766257" w:rsidRDefault="00766257" w:rsidP="00F254B2">
    <w:pPr>
      <w:pStyle w:val="Zhlav"/>
      <w:jc w:val="right"/>
      <w:rPr>
        <w:i/>
        <w:sz w:val="20"/>
        <w:szCs w:val="20"/>
      </w:rPr>
    </w:pPr>
  </w:p>
  <w:p w14:paraId="52EBA005" w14:textId="77777777" w:rsidR="00766257" w:rsidRPr="00F254B2" w:rsidRDefault="00766257" w:rsidP="00766257">
    <w:pPr>
      <w:pStyle w:val="Zhlav"/>
      <w:rPr>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02D48"/>
    <w:multiLevelType w:val="hybridMultilevel"/>
    <w:tmpl w:val="BB2C19A0"/>
    <w:lvl w:ilvl="0" w:tplc="ED16194E">
      <w:start w:val="16"/>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45A171A1"/>
    <w:multiLevelType w:val="singleLevel"/>
    <w:tmpl w:val="650CD4D6"/>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463B09F0"/>
    <w:multiLevelType w:val="hybridMultilevel"/>
    <w:tmpl w:val="2E027D40"/>
    <w:lvl w:ilvl="0" w:tplc="643A5F86">
      <w:start w:val="1"/>
      <w:numFmt w:val="bullet"/>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F3135CE"/>
    <w:multiLevelType w:val="hybridMultilevel"/>
    <w:tmpl w:val="A92A39B4"/>
    <w:lvl w:ilvl="0" w:tplc="ED16194E">
      <w:start w:val="16"/>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4" w15:restartNumberingAfterBreak="0">
    <w:nsid w:val="61373A8B"/>
    <w:multiLevelType w:val="hybridMultilevel"/>
    <w:tmpl w:val="7960DF48"/>
    <w:lvl w:ilvl="0" w:tplc="04050001">
      <w:start w:val="1"/>
      <w:numFmt w:val="bullet"/>
      <w:lvlText w:val=""/>
      <w:lvlJc w:val="left"/>
      <w:pPr>
        <w:ind w:left="785" w:hanging="360"/>
      </w:pPr>
      <w:rPr>
        <w:rFonts w:ascii="Symbol" w:hAnsi="Symbol" w:hint="default"/>
      </w:rPr>
    </w:lvl>
    <w:lvl w:ilvl="1" w:tplc="04050003">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5" w15:restartNumberingAfterBreak="0">
    <w:nsid w:val="659554ED"/>
    <w:multiLevelType w:val="hybridMultilevel"/>
    <w:tmpl w:val="AF5E3FDE"/>
    <w:lvl w:ilvl="0" w:tplc="ED16194E">
      <w:start w:val="1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3EE5105"/>
    <w:multiLevelType w:val="hybridMultilevel"/>
    <w:tmpl w:val="9A948B18"/>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abstractNumId w:val="4"/>
  </w:num>
  <w:num w:numId="2">
    <w:abstractNumId w:val="6"/>
  </w:num>
  <w:num w:numId="3">
    <w:abstractNumId w:val="5"/>
  </w:num>
  <w:num w:numId="4">
    <w:abstractNumId w:val="1"/>
  </w:num>
  <w:num w:numId="5">
    <w:abstractNumId w:val="3"/>
  </w:num>
  <w:num w:numId="6">
    <w:abstractNumId w:val="0"/>
  </w:num>
  <w:num w:numId="7">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E7F"/>
    <w:rsid w:val="0000027C"/>
    <w:rsid w:val="00000815"/>
    <w:rsid w:val="00003FC8"/>
    <w:rsid w:val="00004415"/>
    <w:rsid w:val="00005B5B"/>
    <w:rsid w:val="000071BB"/>
    <w:rsid w:val="00014CE0"/>
    <w:rsid w:val="00015D6C"/>
    <w:rsid w:val="000217DD"/>
    <w:rsid w:val="00025621"/>
    <w:rsid w:val="00027D6B"/>
    <w:rsid w:val="00042163"/>
    <w:rsid w:val="000446AF"/>
    <w:rsid w:val="00045896"/>
    <w:rsid w:val="00045AF2"/>
    <w:rsid w:val="00046FD8"/>
    <w:rsid w:val="00050FFA"/>
    <w:rsid w:val="00051433"/>
    <w:rsid w:val="00051D43"/>
    <w:rsid w:val="0005340A"/>
    <w:rsid w:val="00053A92"/>
    <w:rsid w:val="000547B9"/>
    <w:rsid w:val="00057550"/>
    <w:rsid w:val="00060357"/>
    <w:rsid w:val="00060915"/>
    <w:rsid w:val="00061D71"/>
    <w:rsid w:val="00063D08"/>
    <w:rsid w:val="000722E2"/>
    <w:rsid w:val="00074BAC"/>
    <w:rsid w:val="00080BA2"/>
    <w:rsid w:val="00085FF3"/>
    <w:rsid w:val="00087F7B"/>
    <w:rsid w:val="00091876"/>
    <w:rsid w:val="00091BDF"/>
    <w:rsid w:val="00092ED3"/>
    <w:rsid w:val="00093413"/>
    <w:rsid w:val="00093AF8"/>
    <w:rsid w:val="000957D2"/>
    <w:rsid w:val="00097CEF"/>
    <w:rsid w:val="000B3D65"/>
    <w:rsid w:val="000B3DDA"/>
    <w:rsid w:val="000C115B"/>
    <w:rsid w:val="000C4E3F"/>
    <w:rsid w:val="000D15DE"/>
    <w:rsid w:val="000D3C2B"/>
    <w:rsid w:val="000E1352"/>
    <w:rsid w:val="000E25D1"/>
    <w:rsid w:val="000E3653"/>
    <w:rsid w:val="000E4C0A"/>
    <w:rsid w:val="000E52FE"/>
    <w:rsid w:val="000E53CB"/>
    <w:rsid w:val="000F51D7"/>
    <w:rsid w:val="000F621D"/>
    <w:rsid w:val="00100588"/>
    <w:rsid w:val="0011001D"/>
    <w:rsid w:val="001104E5"/>
    <w:rsid w:val="001125E5"/>
    <w:rsid w:val="00113FAB"/>
    <w:rsid w:val="0011782A"/>
    <w:rsid w:val="0012026C"/>
    <w:rsid w:val="00121C01"/>
    <w:rsid w:val="00131680"/>
    <w:rsid w:val="00137821"/>
    <w:rsid w:val="00144E69"/>
    <w:rsid w:val="00147157"/>
    <w:rsid w:val="00151835"/>
    <w:rsid w:val="00151F63"/>
    <w:rsid w:val="00155127"/>
    <w:rsid w:val="0015799F"/>
    <w:rsid w:val="001646DF"/>
    <w:rsid w:val="00167E91"/>
    <w:rsid w:val="00173386"/>
    <w:rsid w:val="00174E27"/>
    <w:rsid w:val="001758A6"/>
    <w:rsid w:val="00176586"/>
    <w:rsid w:val="00181096"/>
    <w:rsid w:val="001857B4"/>
    <w:rsid w:val="00192DDD"/>
    <w:rsid w:val="00194189"/>
    <w:rsid w:val="00197E5E"/>
    <w:rsid w:val="001A1F4D"/>
    <w:rsid w:val="001A6464"/>
    <w:rsid w:val="001B27C4"/>
    <w:rsid w:val="001B3F72"/>
    <w:rsid w:val="001B4BE0"/>
    <w:rsid w:val="001B5395"/>
    <w:rsid w:val="001B55BA"/>
    <w:rsid w:val="001B6347"/>
    <w:rsid w:val="001D0844"/>
    <w:rsid w:val="001D374B"/>
    <w:rsid w:val="001D429E"/>
    <w:rsid w:val="001D7AEB"/>
    <w:rsid w:val="001E1859"/>
    <w:rsid w:val="001E4B95"/>
    <w:rsid w:val="001F23AF"/>
    <w:rsid w:val="001F2448"/>
    <w:rsid w:val="001F6D90"/>
    <w:rsid w:val="00201642"/>
    <w:rsid w:val="00202C5C"/>
    <w:rsid w:val="00203037"/>
    <w:rsid w:val="0020348E"/>
    <w:rsid w:val="00222E79"/>
    <w:rsid w:val="0022307B"/>
    <w:rsid w:val="002277D0"/>
    <w:rsid w:val="002352A4"/>
    <w:rsid w:val="00235D22"/>
    <w:rsid w:val="00244FAF"/>
    <w:rsid w:val="002457E8"/>
    <w:rsid w:val="00246A6B"/>
    <w:rsid w:val="00262DCA"/>
    <w:rsid w:val="0026490E"/>
    <w:rsid w:val="00264A9A"/>
    <w:rsid w:val="00274172"/>
    <w:rsid w:val="00276AE5"/>
    <w:rsid w:val="00281523"/>
    <w:rsid w:val="002849BA"/>
    <w:rsid w:val="002A0B90"/>
    <w:rsid w:val="002A1360"/>
    <w:rsid w:val="002B0049"/>
    <w:rsid w:val="002B1C13"/>
    <w:rsid w:val="002B4619"/>
    <w:rsid w:val="002B6A4F"/>
    <w:rsid w:val="002C0F64"/>
    <w:rsid w:val="002E0859"/>
    <w:rsid w:val="002E1243"/>
    <w:rsid w:val="002E2D74"/>
    <w:rsid w:val="002E4F35"/>
    <w:rsid w:val="002E5DBA"/>
    <w:rsid w:val="00303413"/>
    <w:rsid w:val="003061E3"/>
    <w:rsid w:val="00311E07"/>
    <w:rsid w:val="00315C7F"/>
    <w:rsid w:val="00320DBA"/>
    <w:rsid w:val="0033256A"/>
    <w:rsid w:val="00335EC0"/>
    <w:rsid w:val="003441DB"/>
    <w:rsid w:val="00344CFD"/>
    <w:rsid w:val="0035385F"/>
    <w:rsid w:val="00354735"/>
    <w:rsid w:val="00355BA2"/>
    <w:rsid w:val="003601CF"/>
    <w:rsid w:val="00363318"/>
    <w:rsid w:val="00373F1D"/>
    <w:rsid w:val="0038544E"/>
    <w:rsid w:val="003854B0"/>
    <w:rsid w:val="00386A1A"/>
    <w:rsid w:val="00391756"/>
    <w:rsid w:val="0039457C"/>
    <w:rsid w:val="00397225"/>
    <w:rsid w:val="003A21E5"/>
    <w:rsid w:val="003A3BA7"/>
    <w:rsid w:val="003A62F4"/>
    <w:rsid w:val="003B1662"/>
    <w:rsid w:val="003B2940"/>
    <w:rsid w:val="003B4AC3"/>
    <w:rsid w:val="003C2A97"/>
    <w:rsid w:val="003C2AE2"/>
    <w:rsid w:val="003C3B3F"/>
    <w:rsid w:val="003C3BC8"/>
    <w:rsid w:val="003C6E39"/>
    <w:rsid w:val="003D0CD8"/>
    <w:rsid w:val="003D4222"/>
    <w:rsid w:val="003E34FB"/>
    <w:rsid w:val="003E7B74"/>
    <w:rsid w:val="003F1A15"/>
    <w:rsid w:val="003F7332"/>
    <w:rsid w:val="004057FF"/>
    <w:rsid w:val="00407DE8"/>
    <w:rsid w:val="00407FE1"/>
    <w:rsid w:val="0041239C"/>
    <w:rsid w:val="00412446"/>
    <w:rsid w:val="004126E6"/>
    <w:rsid w:val="004176D8"/>
    <w:rsid w:val="00440AAB"/>
    <w:rsid w:val="00441879"/>
    <w:rsid w:val="004547C8"/>
    <w:rsid w:val="00455374"/>
    <w:rsid w:val="0045563F"/>
    <w:rsid w:val="00457EE3"/>
    <w:rsid w:val="00460B6A"/>
    <w:rsid w:val="00465C4E"/>
    <w:rsid w:val="00466552"/>
    <w:rsid w:val="00466A50"/>
    <w:rsid w:val="00472E08"/>
    <w:rsid w:val="00480D13"/>
    <w:rsid w:val="004863D6"/>
    <w:rsid w:val="004957D8"/>
    <w:rsid w:val="00496FAD"/>
    <w:rsid w:val="00497655"/>
    <w:rsid w:val="004978EE"/>
    <w:rsid w:val="004A523E"/>
    <w:rsid w:val="004A6744"/>
    <w:rsid w:val="004B1011"/>
    <w:rsid w:val="004B606D"/>
    <w:rsid w:val="004B72E0"/>
    <w:rsid w:val="004B7A4F"/>
    <w:rsid w:val="004C2858"/>
    <w:rsid w:val="004C650B"/>
    <w:rsid w:val="004D0335"/>
    <w:rsid w:val="004E3708"/>
    <w:rsid w:val="004E4759"/>
    <w:rsid w:val="00500F24"/>
    <w:rsid w:val="00501D02"/>
    <w:rsid w:val="0051147C"/>
    <w:rsid w:val="00514413"/>
    <w:rsid w:val="0052093A"/>
    <w:rsid w:val="00525AFB"/>
    <w:rsid w:val="00527406"/>
    <w:rsid w:val="00533688"/>
    <w:rsid w:val="005357DA"/>
    <w:rsid w:val="00536C12"/>
    <w:rsid w:val="00540F09"/>
    <w:rsid w:val="00542916"/>
    <w:rsid w:val="005570D0"/>
    <w:rsid w:val="00563088"/>
    <w:rsid w:val="00565A15"/>
    <w:rsid w:val="0056635E"/>
    <w:rsid w:val="005670D9"/>
    <w:rsid w:val="00567FA5"/>
    <w:rsid w:val="00571085"/>
    <w:rsid w:val="00573510"/>
    <w:rsid w:val="0057466C"/>
    <w:rsid w:val="005805A0"/>
    <w:rsid w:val="00584291"/>
    <w:rsid w:val="005900AA"/>
    <w:rsid w:val="00591828"/>
    <w:rsid w:val="00591ABF"/>
    <w:rsid w:val="0059581C"/>
    <w:rsid w:val="005A3628"/>
    <w:rsid w:val="005A7F4D"/>
    <w:rsid w:val="005B1629"/>
    <w:rsid w:val="005B1CB9"/>
    <w:rsid w:val="005B23C6"/>
    <w:rsid w:val="005B367E"/>
    <w:rsid w:val="005B43F3"/>
    <w:rsid w:val="005C201E"/>
    <w:rsid w:val="005C28CB"/>
    <w:rsid w:val="005C5D47"/>
    <w:rsid w:val="005D10C4"/>
    <w:rsid w:val="005D14C1"/>
    <w:rsid w:val="005D488C"/>
    <w:rsid w:val="005D4EE3"/>
    <w:rsid w:val="005D54B2"/>
    <w:rsid w:val="005D568A"/>
    <w:rsid w:val="005D7089"/>
    <w:rsid w:val="005E3F7F"/>
    <w:rsid w:val="00603BB1"/>
    <w:rsid w:val="00606B8A"/>
    <w:rsid w:val="00610CB4"/>
    <w:rsid w:val="0062315A"/>
    <w:rsid w:val="0062689F"/>
    <w:rsid w:val="0063238D"/>
    <w:rsid w:val="006335A3"/>
    <w:rsid w:val="006337E1"/>
    <w:rsid w:val="00641769"/>
    <w:rsid w:val="0064416E"/>
    <w:rsid w:val="00645021"/>
    <w:rsid w:val="00652ABA"/>
    <w:rsid w:val="00662DD9"/>
    <w:rsid w:val="00664496"/>
    <w:rsid w:val="0066509E"/>
    <w:rsid w:val="006738D3"/>
    <w:rsid w:val="006774C3"/>
    <w:rsid w:val="0068592F"/>
    <w:rsid w:val="00694CD3"/>
    <w:rsid w:val="00697AA1"/>
    <w:rsid w:val="006A2F61"/>
    <w:rsid w:val="006A6F6A"/>
    <w:rsid w:val="006A6FD1"/>
    <w:rsid w:val="006B5EBF"/>
    <w:rsid w:val="006B6135"/>
    <w:rsid w:val="006E023E"/>
    <w:rsid w:val="006E764A"/>
    <w:rsid w:val="006F3544"/>
    <w:rsid w:val="00700520"/>
    <w:rsid w:val="0071148E"/>
    <w:rsid w:val="00716DA7"/>
    <w:rsid w:val="00717BC0"/>
    <w:rsid w:val="00717DAD"/>
    <w:rsid w:val="00720092"/>
    <w:rsid w:val="00723C99"/>
    <w:rsid w:val="007351FE"/>
    <w:rsid w:val="00735463"/>
    <w:rsid w:val="00735FFD"/>
    <w:rsid w:val="00747CEF"/>
    <w:rsid w:val="00760898"/>
    <w:rsid w:val="00760D6E"/>
    <w:rsid w:val="00763082"/>
    <w:rsid w:val="00766257"/>
    <w:rsid w:val="00780714"/>
    <w:rsid w:val="0078109A"/>
    <w:rsid w:val="00781146"/>
    <w:rsid w:val="00781BC2"/>
    <w:rsid w:val="0078548C"/>
    <w:rsid w:val="00787BD4"/>
    <w:rsid w:val="00794456"/>
    <w:rsid w:val="00794A9A"/>
    <w:rsid w:val="007A07E0"/>
    <w:rsid w:val="007A0944"/>
    <w:rsid w:val="007A71B1"/>
    <w:rsid w:val="007B3F03"/>
    <w:rsid w:val="007B5997"/>
    <w:rsid w:val="007C5B0E"/>
    <w:rsid w:val="007C5CB4"/>
    <w:rsid w:val="007D1578"/>
    <w:rsid w:val="007D1BB2"/>
    <w:rsid w:val="007D36AB"/>
    <w:rsid w:val="007D5F4F"/>
    <w:rsid w:val="007D68D7"/>
    <w:rsid w:val="007E360B"/>
    <w:rsid w:val="007E79AF"/>
    <w:rsid w:val="007F064A"/>
    <w:rsid w:val="007F1EA1"/>
    <w:rsid w:val="007F2E04"/>
    <w:rsid w:val="007F582F"/>
    <w:rsid w:val="00800D9B"/>
    <w:rsid w:val="0080473C"/>
    <w:rsid w:val="0081122D"/>
    <w:rsid w:val="00811511"/>
    <w:rsid w:val="00811A7B"/>
    <w:rsid w:val="00812EDC"/>
    <w:rsid w:val="00816107"/>
    <w:rsid w:val="00817095"/>
    <w:rsid w:val="00822371"/>
    <w:rsid w:val="00826EC2"/>
    <w:rsid w:val="008309EF"/>
    <w:rsid w:val="00834DB7"/>
    <w:rsid w:val="008419F9"/>
    <w:rsid w:val="008428B9"/>
    <w:rsid w:val="00843587"/>
    <w:rsid w:val="00845FB8"/>
    <w:rsid w:val="0084661A"/>
    <w:rsid w:val="00854268"/>
    <w:rsid w:val="0085522A"/>
    <w:rsid w:val="0085548E"/>
    <w:rsid w:val="008563D9"/>
    <w:rsid w:val="00857243"/>
    <w:rsid w:val="00857FDF"/>
    <w:rsid w:val="00860322"/>
    <w:rsid w:val="00860E0A"/>
    <w:rsid w:val="00872056"/>
    <w:rsid w:val="0087212D"/>
    <w:rsid w:val="00873207"/>
    <w:rsid w:val="00874F13"/>
    <w:rsid w:val="0087644F"/>
    <w:rsid w:val="0088047F"/>
    <w:rsid w:val="00881A43"/>
    <w:rsid w:val="008837BB"/>
    <w:rsid w:val="00886900"/>
    <w:rsid w:val="00893FC2"/>
    <w:rsid w:val="008A1C9A"/>
    <w:rsid w:val="008A4DC9"/>
    <w:rsid w:val="008A66B6"/>
    <w:rsid w:val="008B269E"/>
    <w:rsid w:val="008B2F0B"/>
    <w:rsid w:val="008D5340"/>
    <w:rsid w:val="008E096B"/>
    <w:rsid w:val="008E35DE"/>
    <w:rsid w:val="008E3882"/>
    <w:rsid w:val="008E69B7"/>
    <w:rsid w:val="008E73E3"/>
    <w:rsid w:val="008E7514"/>
    <w:rsid w:val="008F6DB6"/>
    <w:rsid w:val="00900C93"/>
    <w:rsid w:val="00901A3E"/>
    <w:rsid w:val="00913124"/>
    <w:rsid w:val="00916EB6"/>
    <w:rsid w:val="00922EC5"/>
    <w:rsid w:val="00936D05"/>
    <w:rsid w:val="00945139"/>
    <w:rsid w:val="009562D8"/>
    <w:rsid w:val="009568CE"/>
    <w:rsid w:val="00960CCB"/>
    <w:rsid w:val="009639A5"/>
    <w:rsid w:val="0096623F"/>
    <w:rsid w:val="009672B8"/>
    <w:rsid w:val="00984C0A"/>
    <w:rsid w:val="00996A2E"/>
    <w:rsid w:val="00997A11"/>
    <w:rsid w:val="00997BF2"/>
    <w:rsid w:val="00997D6B"/>
    <w:rsid w:val="009A4C66"/>
    <w:rsid w:val="009B52EE"/>
    <w:rsid w:val="009B6640"/>
    <w:rsid w:val="009B7096"/>
    <w:rsid w:val="009C1B8D"/>
    <w:rsid w:val="009C3526"/>
    <w:rsid w:val="009C38A8"/>
    <w:rsid w:val="009C4990"/>
    <w:rsid w:val="009C5412"/>
    <w:rsid w:val="009D17EB"/>
    <w:rsid w:val="009D417B"/>
    <w:rsid w:val="009D544F"/>
    <w:rsid w:val="009D5D21"/>
    <w:rsid w:val="009D5F53"/>
    <w:rsid w:val="009E3884"/>
    <w:rsid w:val="009E5C2C"/>
    <w:rsid w:val="009F4AF0"/>
    <w:rsid w:val="00A02B49"/>
    <w:rsid w:val="00A10F49"/>
    <w:rsid w:val="00A152A5"/>
    <w:rsid w:val="00A1549A"/>
    <w:rsid w:val="00A238AB"/>
    <w:rsid w:val="00A33F04"/>
    <w:rsid w:val="00A35455"/>
    <w:rsid w:val="00A46067"/>
    <w:rsid w:val="00A47837"/>
    <w:rsid w:val="00A52B6A"/>
    <w:rsid w:val="00A546B7"/>
    <w:rsid w:val="00A64061"/>
    <w:rsid w:val="00A67B68"/>
    <w:rsid w:val="00A740D1"/>
    <w:rsid w:val="00A74B13"/>
    <w:rsid w:val="00A74C86"/>
    <w:rsid w:val="00A74E31"/>
    <w:rsid w:val="00A7569B"/>
    <w:rsid w:val="00A77164"/>
    <w:rsid w:val="00A80340"/>
    <w:rsid w:val="00A82A26"/>
    <w:rsid w:val="00A82CC5"/>
    <w:rsid w:val="00A8682F"/>
    <w:rsid w:val="00A87894"/>
    <w:rsid w:val="00A93829"/>
    <w:rsid w:val="00AA3D33"/>
    <w:rsid w:val="00AA5E7F"/>
    <w:rsid w:val="00AB059E"/>
    <w:rsid w:val="00AB2465"/>
    <w:rsid w:val="00AC1AD6"/>
    <w:rsid w:val="00AC1F46"/>
    <w:rsid w:val="00AC21BE"/>
    <w:rsid w:val="00AC5566"/>
    <w:rsid w:val="00AC7894"/>
    <w:rsid w:val="00AD1AEE"/>
    <w:rsid w:val="00AE4011"/>
    <w:rsid w:val="00AE4E17"/>
    <w:rsid w:val="00AE5AFB"/>
    <w:rsid w:val="00AE7A80"/>
    <w:rsid w:val="00AF0BE6"/>
    <w:rsid w:val="00AF2D33"/>
    <w:rsid w:val="00AF3086"/>
    <w:rsid w:val="00AF3A03"/>
    <w:rsid w:val="00B008A8"/>
    <w:rsid w:val="00B04D74"/>
    <w:rsid w:val="00B06A11"/>
    <w:rsid w:val="00B21BCD"/>
    <w:rsid w:val="00B23BE8"/>
    <w:rsid w:val="00B26124"/>
    <w:rsid w:val="00B264D7"/>
    <w:rsid w:val="00B26B8F"/>
    <w:rsid w:val="00B32A47"/>
    <w:rsid w:val="00B36F71"/>
    <w:rsid w:val="00B4391A"/>
    <w:rsid w:val="00B44F46"/>
    <w:rsid w:val="00B47485"/>
    <w:rsid w:val="00B5690E"/>
    <w:rsid w:val="00B62F2B"/>
    <w:rsid w:val="00B6445C"/>
    <w:rsid w:val="00B64676"/>
    <w:rsid w:val="00B6718F"/>
    <w:rsid w:val="00B71BA4"/>
    <w:rsid w:val="00B729E8"/>
    <w:rsid w:val="00B72D5B"/>
    <w:rsid w:val="00B74CA0"/>
    <w:rsid w:val="00B81EFA"/>
    <w:rsid w:val="00B83CA2"/>
    <w:rsid w:val="00B913F0"/>
    <w:rsid w:val="00BA20DD"/>
    <w:rsid w:val="00BA2B30"/>
    <w:rsid w:val="00BA2F4F"/>
    <w:rsid w:val="00BA3211"/>
    <w:rsid w:val="00BA6353"/>
    <w:rsid w:val="00BA68DB"/>
    <w:rsid w:val="00BA6FBE"/>
    <w:rsid w:val="00BB1B3A"/>
    <w:rsid w:val="00BC0C60"/>
    <w:rsid w:val="00BD4069"/>
    <w:rsid w:val="00BD51AA"/>
    <w:rsid w:val="00BD5A2B"/>
    <w:rsid w:val="00BD6B65"/>
    <w:rsid w:val="00BE22F9"/>
    <w:rsid w:val="00BF210C"/>
    <w:rsid w:val="00C008AF"/>
    <w:rsid w:val="00C02587"/>
    <w:rsid w:val="00C0359D"/>
    <w:rsid w:val="00C129C7"/>
    <w:rsid w:val="00C239EB"/>
    <w:rsid w:val="00C26FCD"/>
    <w:rsid w:val="00C30D4C"/>
    <w:rsid w:val="00C32D94"/>
    <w:rsid w:val="00C335A8"/>
    <w:rsid w:val="00C40060"/>
    <w:rsid w:val="00C429E2"/>
    <w:rsid w:val="00C43C14"/>
    <w:rsid w:val="00C4588E"/>
    <w:rsid w:val="00C47EF4"/>
    <w:rsid w:val="00C5265B"/>
    <w:rsid w:val="00C56E08"/>
    <w:rsid w:val="00C57ED9"/>
    <w:rsid w:val="00C648C0"/>
    <w:rsid w:val="00C67B4B"/>
    <w:rsid w:val="00C723C8"/>
    <w:rsid w:val="00C72E60"/>
    <w:rsid w:val="00C73140"/>
    <w:rsid w:val="00C800BD"/>
    <w:rsid w:val="00C80718"/>
    <w:rsid w:val="00C830EA"/>
    <w:rsid w:val="00C86FBC"/>
    <w:rsid w:val="00C94EEC"/>
    <w:rsid w:val="00CA0251"/>
    <w:rsid w:val="00CA1A62"/>
    <w:rsid w:val="00CB13FE"/>
    <w:rsid w:val="00CC1B32"/>
    <w:rsid w:val="00CD110A"/>
    <w:rsid w:val="00CD4A76"/>
    <w:rsid w:val="00CE0A93"/>
    <w:rsid w:val="00CE22A3"/>
    <w:rsid w:val="00CE240B"/>
    <w:rsid w:val="00CE35E6"/>
    <w:rsid w:val="00CE39E4"/>
    <w:rsid w:val="00CF569A"/>
    <w:rsid w:val="00D03B70"/>
    <w:rsid w:val="00D060BA"/>
    <w:rsid w:val="00D063D3"/>
    <w:rsid w:val="00D06D15"/>
    <w:rsid w:val="00D07B04"/>
    <w:rsid w:val="00D1126A"/>
    <w:rsid w:val="00D12918"/>
    <w:rsid w:val="00D17D88"/>
    <w:rsid w:val="00D220AA"/>
    <w:rsid w:val="00D2384B"/>
    <w:rsid w:val="00D24858"/>
    <w:rsid w:val="00D263A3"/>
    <w:rsid w:val="00D3213A"/>
    <w:rsid w:val="00D35C01"/>
    <w:rsid w:val="00D505F9"/>
    <w:rsid w:val="00D53C27"/>
    <w:rsid w:val="00D662DB"/>
    <w:rsid w:val="00D75D28"/>
    <w:rsid w:val="00D77734"/>
    <w:rsid w:val="00D80C94"/>
    <w:rsid w:val="00D80EFD"/>
    <w:rsid w:val="00D81125"/>
    <w:rsid w:val="00D82488"/>
    <w:rsid w:val="00D9726B"/>
    <w:rsid w:val="00DA5173"/>
    <w:rsid w:val="00DA6302"/>
    <w:rsid w:val="00DA652D"/>
    <w:rsid w:val="00DA6F44"/>
    <w:rsid w:val="00DB536A"/>
    <w:rsid w:val="00DB67AE"/>
    <w:rsid w:val="00DC0065"/>
    <w:rsid w:val="00DC03BF"/>
    <w:rsid w:val="00DC358A"/>
    <w:rsid w:val="00DC6F7E"/>
    <w:rsid w:val="00DD02F1"/>
    <w:rsid w:val="00DD1C37"/>
    <w:rsid w:val="00DD3FD0"/>
    <w:rsid w:val="00DD689E"/>
    <w:rsid w:val="00DE5219"/>
    <w:rsid w:val="00E00898"/>
    <w:rsid w:val="00E063C4"/>
    <w:rsid w:val="00E06C30"/>
    <w:rsid w:val="00E14D3A"/>
    <w:rsid w:val="00E21FCF"/>
    <w:rsid w:val="00E25D59"/>
    <w:rsid w:val="00E339D9"/>
    <w:rsid w:val="00E36A74"/>
    <w:rsid w:val="00E406A4"/>
    <w:rsid w:val="00E51B89"/>
    <w:rsid w:val="00E540D7"/>
    <w:rsid w:val="00E5423C"/>
    <w:rsid w:val="00E57B6E"/>
    <w:rsid w:val="00E73A80"/>
    <w:rsid w:val="00E878F5"/>
    <w:rsid w:val="00E94D53"/>
    <w:rsid w:val="00E95C5E"/>
    <w:rsid w:val="00E963CF"/>
    <w:rsid w:val="00E96828"/>
    <w:rsid w:val="00EA24AD"/>
    <w:rsid w:val="00EA6379"/>
    <w:rsid w:val="00EA6B52"/>
    <w:rsid w:val="00EB43F4"/>
    <w:rsid w:val="00EC1091"/>
    <w:rsid w:val="00ED2EE3"/>
    <w:rsid w:val="00ED619E"/>
    <w:rsid w:val="00ED7518"/>
    <w:rsid w:val="00ED7F6B"/>
    <w:rsid w:val="00EF3CFF"/>
    <w:rsid w:val="00EF77D1"/>
    <w:rsid w:val="00F02C6D"/>
    <w:rsid w:val="00F031C4"/>
    <w:rsid w:val="00F1008D"/>
    <w:rsid w:val="00F14C7C"/>
    <w:rsid w:val="00F17CB7"/>
    <w:rsid w:val="00F207DE"/>
    <w:rsid w:val="00F21C75"/>
    <w:rsid w:val="00F2440B"/>
    <w:rsid w:val="00F249F4"/>
    <w:rsid w:val="00F254B2"/>
    <w:rsid w:val="00F26807"/>
    <w:rsid w:val="00F33A9E"/>
    <w:rsid w:val="00F3432E"/>
    <w:rsid w:val="00F37D1F"/>
    <w:rsid w:val="00F40292"/>
    <w:rsid w:val="00F436EF"/>
    <w:rsid w:val="00F45741"/>
    <w:rsid w:val="00F51C62"/>
    <w:rsid w:val="00F54822"/>
    <w:rsid w:val="00F610C2"/>
    <w:rsid w:val="00F665C2"/>
    <w:rsid w:val="00F67EA7"/>
    <w:rsid w:val="00F73C25"/>
    <w:rsid w:val="00F7689A"/>
    <w:rsid w:val="00F80325"/>
    <w:rsid w:val="00F80588"/>
    <w:rsid w:val="00F814AD"/>
    <w:rsid w:val="00F909FD"/>
    <w:rsid w:val="00FB3571"/>
    <w:rsid w:val="00FB5CF5"/>
    <w:rsid w:val="00FB7B29"/>
    <w:rsid w:val="00FC0B88"/>
    <w:rsid w:val="00FC1C6C"/>
    <w:rsid w:val="00FC34D4"/>
    <w:rsid w:val="00FD4381"/>
    <w:rsid w:val="00FE3186"/>
    <w:rsid w:val="00FE43D6"/>
    <w:rsid w:val="00FE59E1"/>
    <w:rsid w:val="00FE6750"/>
    <w:rsid w:val="00FF02F8"/>
    <w:rsid w:val="00FF1576"/>
    <w:rsid w:val="00FF4B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A859DEF"/>
  <w15:docId w15:val="{9684838C-79BF-40B5-A7C7-689ECA8E2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80325"/>
    <w:pPr>
      <w:jc w:val="both"/>
    </w:pPr>
    <w:rPr>
      <w:sz w:val="24"/>
      <w:szCs w:val="24"/>
    </w:rPr>
  </w:style>
  <w:style w:type="paragraph" w:styleId="Nadpis1">
    <w:name w:val="heading 1"/>
    <w:basedOn w:val="Normln"/>
    <w:next w:val="Normln"/>
    <w:qFormat/>
    <w:rsid w:val="00ED7F6B"/>
    <w:pPr>
      <w:keepNext/>
      <w:ind w:firstLine="708"/>
      <w:outlineLvl w:val="0"/>
    </w:pPr>
    <w:rPr>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ED7F6B"/>
    <w:pPr>
      <w:jc w:val="center"/>
    </w:pPr>
    <w:rPr>
      <w:b/>
      <w:sz w:val="32"/>
      <w:szCs w:val="32"/>
      <w:u w:val="single"/>
    </w:rPr>
  </w:style>
  <w:style w:type="paragraph" w:styleId="Zkladntext">
    <w:name w:val="Body Text"/>
    <w:basedOn w:val="Normln"/>
    <w:link w:val="ZkladntextChar"/>
    <w:rsid w:val="00ED7F6B"/>
  </w:style>
  <w:style w:type="paragraph" w:styleId="Zkladntextodsazen">
    <w:name w:val="Body Text Indent"/>
    <w:basedOn w:val="Normln"/>
    <w:semiHidden/>
    <w:rsid w:val="00ED7F6B"/>
    <w:pPr>
      <w:ind w:left="1440" w:hanging="720"/>
    </w:pPr>
  </w:style>
  <w:style w:type="paragraph" w:styleId="Zkladntextodsazen2">
    <w:name w:val="Body Text Indent 2"/>
    <w:basedOn w:val="Normln"/>
    <w:semiHidden/>
    <w:rsid w:val="00ED7F6B"/>
    <w:pPr>
      <w:ind w:left="705"/>
    </w:pPr>
  </w:style>
  <w:style w:type="paragraph" w:styleId="Zkladntextodsazen3">
    <w:name w:val="Body Text Indent 3"/>
    <w:basedOn w:val="Normln"/>
    <w:semiHidden/>
    <w:rsid w:val="00ED7F6B"/>
    <w:pPr>
      <w:ind w:left="2340" w:hanging="180"/>
    </w:pPr>
  </w:style>
  <w:style w:type="paragraph" w:styleId="Zkladntext2">
    <w:name w:val="Body Text 2"/>
    <w:basedOn w:val="Normln"/>
    <w:semiHidden/>
    <w:rsid w:val="00ED7F6B"/>
    <w:rPr>
      <w:i/>
      <w:iCs/>
    </w:rPr>
  </w:style>
  <w:style w:type="paragraph" w:styleId="Textbubliny">
    <w:name w:val="Balloon Text"/>
    <w:basedOn w:val="Normln"/>
    <w:link w:val="TextbublinyChar"/>
    <w:unhideWhenUsed/>
    <w:rsid w:val="001D0844"/>
    <w:rPr>
      <w:rFonts w:ascii="Tahoma" w:hAnsi="Tahoma" w:cs="Tahoma"/>
      <w:sz w:val="16"/>
      <w:szCs w:val="16"/>
    </w:rPr>
  </w:style>
  <w:style w:type="character" w:customStyle="1" w:styleId="TextbublinyChar">
    <w:name w:val="Text bubliny Char"/>
    <w:basedOn w:val="Standardnpsmoodstavce"/>
    <w:link w:val="Textbubliny"/>
    <w:rsid w:val="001D0844"/>
    <w:rPr>
      <w:rFonts w:ascii="Tahoma" w:hAnsi="Tahoma" w:cs="Tahoma"/>
      <w:sz w:val="16"/>
      <w:szCs w:val="16"/>
    </w:rPr>
  </w:style>
  <w:style w:type="paragraph" w:styleId="Odstavecseseznamem">
    <w:name w:val="List Paragraph"/>
    <w:basedOn w:val="Normln"/>
    <w:uiPriority w:val="99"/>
    <w:qFormat/>
    <w:rsid w:val="003D4222"/>
    <w:pPr>
      <w:ind w:left="720"/>
      <w:contextualSpacing/>
    </w:pPr>
  </w:style>
  <w:style w:type="character" w:styleId="Siln">
    <w:name w:val="Strong"/>
    <w:basedOn w:val="Standardnpsmoodstavce"/>
    <w:uiPriority w:val="22"/>
    <w:qFormat/>
    <w:rsid w:val="00D06D15"/>
    <w:rPr>
      <w:b/>
      <w:bCs/>
    </w:rPr>
  </w:style>
  <w:style w:type="character" w:customStyle="1" w:styleId="ZkladntextChar">
    <w:name w:val="Základní text Char"/>
    <w:basedOn w:val="Standardnpsmoodstavce"/>
    <w:link w:val="Zkladntext"/>
    <w:rsid w:val="00DD3FD0"/>
    <w:rPr>
      <w:sz w:val="24"/>
      <w:szCs w:val="24"/>
    </w:rPr>
  </w:style>
  <w:style w:type="character" w:styleId="Hypertextovodkaz">
    <w:name w:val="Hyperlink"/>
    <w:basedOn w:val="Standardnpsmoodstavce"/>
    <w:uiPriority w:val="99"/>
    <w:unhideWhenUsed/>
    <w:rsid w:val="009E5C2C"/>
    <w:rPr>
      <w:color w:val="0000FF" w:themeColor="hyperlink"/>
      <w:u w:val="single"/>
    </w:rPr>
  </w:style>
  <w:style w:type="character" w:styleId="Odkaznakoment">
    <w:name w:val="annotation reference"/>
    <w:basedOn w:val="Standardnpsmoodstavce"/>
    <w:uiPriority w:val="99"/>
    <w:semiHidden/>
    <w:unhideWhenUsed/>
    <w:rsid w:val="00315C7F"/>
    <w:rPr>
      <w:sz w:val="16"/>
      <w:szCs w:val="16"/>
    </w:rPr>
  </w:style>
  <w:style w:type="paragraph" w:styleId="Textkomente">
    <w:name w:val="annotation text"/>
    <w:basedOn w:val="Normln"/>
    <w:link w:val="TextkomenteChar"/>
    <w:uiPriority w:val="99"/>
    <w:unhideWhenUsed/>
    <w:rsid w:val="00315C7F"/>
    <w:rPr>
      <w:sz w:val="20"/>
      <w:szCs w:val="20"/>
    </w:rPr>
  </w:style>
  <w:style w:type="character" w:customStyle="1" w:styleId="TextkomenteChar">
    <w:name w:val="Text komentáře Char"/>
    <w:basedOn w:val="Standardnpsmoodstavce"/>
    <w:link w:val="Textkomente"/>
    <w:uiPriority w:val="99"/>
    <w:semiHidden/>
    <w:rsid w:val="00315C7F"/>
  </w:style>
  <w:style w:type="paragraph" w:styleId="Pedmtkomente">
    <w:name w:val="annotation subject"/>
    <w:basedOn w:val="Textkomente"/>
    <w:next w:val="Textkomente"/>
    <w:link w:val="PedmtkomenteChar"/>
    <w:uiPriority w:val="99"/>
    <w:semiHidden/>
    <w:unhideWhenUsed/>
    <w:rsid w:val="00315C7F"/>
    <w:rPr>
      <w:b/>
      <w:bCs/>
    </w:rPr>
  </w:style>
  <w:style w:type="character" w:customStyle="1" w:styleId="PedmtkomenteChar">
    <w:name w:val="Předmět komentáře Char"/>
    <w:basedOn w:val="TextkomenteChar"/>
    <w:link w:val="Pedmtkomente"/>
    <w:uiPriority w:val="99"/>
    <w:semiHidden/>
    <w:rsid w:val="00315C7F"/>
    <w:rPr>
      <w:b/>
      <w:bCs/>
    </w:rPr>
  </w:style>
  <w:style w:type="paragraph" w:styleId="Zhlav">
    <w:name w:val="header"/>
    <w:basedOn w:val="Normln"/>
    <w:link w:val="ZhlavChar"/>
    <w:uiPriority w:val="99"/>
    <w:unhideWhenUsed/>
    <w:rsid w:val="00F254B2"/>
    <w:pPr>
      <w:tabs>
        <w:tab w:val="center" w:pos="4536"/>
        <w:tab w:val="right" w:pos="9072"/>
      </w:tabs>
    </w:pPr>
  </w:style>
  <w:style w:type="character" w:customStyle="1" w:styleId="ZhlavChar">
    <w:name w:val="Záhlaví Char"/>
    <w:basedOn w:val="Standardnpsmoodstavce"/>
    <w:link w:val="Zhlav"/>
    <w:uiPriority w:val="99"/>
    <w:rsid w:val="00F254B2"/>
    <w:rPr>
      <w:sz w:val="24"/>
      <w:szCs w:val="24"/>
    </w:rPr>
  </w:style>
  <w:style w:type="paragraph" w:styleId="Zpat">
    <w:name w:val="footer"/>
    <w:basedOn w:val="Normln"/>
    <w:link w:val="ZpatChar"/>
    <w:uiPriority w:val="99"/>
    <w:unhideWhenUsed/>
    <w:rsid w:val="00F254B2"/>
    <w:pPr>
      <w:tabs>
        <w:tab w:val="center" w:pos="4536"/>
        <w:tab w:val="right" w:pos="9072"/>
      </w:tabs>
    </w:pPr>
  </w:style>
  <w:style w:type="character" w:customStyle="1" w:styleId="ZpatChar">
    <w:name w:val="Zápatí Char"/>
    <w:basedOn w:val="Standardnpsmoodstavce"/>
    <w:link w:val="Zpat"/>
    <w:uiPriority w:val="99"/>
    <w:rsid w:val="00F254B2"/>
    <w:rPr>
      <w:sz w:val="24"/>
      <w:szCs w:val="24"/>
    </w:rPr>
  </w:style>
  <w:style w:type="character" w:customStyle="1" w:styleId="NzevChar">
    <w:name w:val="Název Char"/>
    <w:link w:val="Nzev"/>
    <w:rsid w:val="00766257"/>
    <w:rPr>
      <w:b/>
      <w:sz w:val="32"/>
      <w:szCs w:val="32"/>
      <w:u w:val="single"/>
    </w:rPr>
  </w:style>
  <w:style w:type="paragraph" w:styleId="Seznamsodrkami">
    <w:name w:val="List Bullet"/>
    <w:basedOn w:val="Normln"/>
    <w:link w:val="SeznamsodrkamiChar"/>
    <w:rsid w:val="00AE7A80"/>
    <w:pPr>
      <w:numPr>
        <w:numId w:val="4"/>
      </w:numPr>
      <w:jc w:val="left"/>
    </w:pPr>
    <w:rPr>
      <w:szCs w:val="20"/>
    </w:rPr>
  </w:style>
  <w:style w:type="character" w:customStyle="1" w:styleId="SeznamsodrkamiChar">
    <w:name w:val="Seznam s odrážkami Char"/>
    <w:link w:val="Seznamsodrkami"/>
    <w:rsid w:val="00AE7A80"/>
    <w:rPr>
      <w:sz w:val="24"/>
    </w:rPr>
  </w:style>
  <w:style w:type="paragraph" w:customStyle="1" w:styleId="Normal-odstavec">
    <w:name w:val="Normal-odstavec"/>
    <w:basedOn w:val="Normln"/>
    <w:link w:val="Normal-odstavecChar"/>
    <w:rsid w:val="00AE7A80"/>
    <w:pPr>
      <w:spacing w:before="100"/>
      <w:ind w:firstLine="425"/>
    </w:pPr>
    <w:rPr>
      <w:szCs w:val="20"/>
    </w:rPr>
  </w:style>
  <w:style w:type="character" w:customStyle="1" w:styleId="Normal-odstavecChar">
    <w:name w:val="Normal-odstavec Char"/>
    <w:link w:val="Normal-odstavec"/>
    <w:rsid w:val="00AE7A80"/>
    <w:rPr>
      <w:sz w:val="24"/>
    </w:rPr>
  </w:style>
  <w:style w:type="character" w:customStyle="1" w:styleId="datalabel">
    <w:name w:val="datalabel"/>
    <w:basedOn w:val="Standardnpsmoodstavce"/>
    <w:rsid w:val="00735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879809">
      <w:bodyDiv w:val="1"/>
      <w:marLeft w:val="0"/>
      <w:marRight w:val="0"/>
      <w:marTop w:val="0"/>
      <w:marBottom w:val="0"/>
      <w:divBdr>
        <w:top w:val="none" w:sz="0" w:space="0" w:color="auto"/>
        <w:left w:val="none" w:sz="0" w:space="0" w:color="auto"/>
        <w:bottom w:val="none" w:sz="0" w:space="0" w:color="auto"/>
        <w:right w:val="none" w:sz="0" w:space="0" w:color="auto"/>
      </w:divBdr>
      <w:divsChild>
        <w:div w:id="379673124">
          <w:marLeft w:val="0"/>
          <w:marRight w:val="0"/>
          <w:marTop w:val="0"/>
          <w:marBottom w:val="0"/>
          <w:divBdr>
            <w:top w:val="none" w:sz="0" w:space="0" w:color="auto"/>
            <w:left w:val="none" w:sz="0" w:space="0" w:color="auto"/>
            <w:bottom w:val="none" w:sz="0" w:space="0" w:color="auto"/>
            <w:right w:val="none" w:sz="0" w:space="0" w:color="auto"/>
          </w:divBdr>
          <w:divsChild>
            <w:div w:id="1646155829">
              <w:marLeft w:val="0"/>
              <w:marRight w:val="0"/>
              <w:marTop w:val="0"/>
              <w:marBottom w:val="0"/>
              <w:divBdr>
                <w:top w:val="single" w:sz="6" w:space="0" w:color="FFFFFF"/>
                <w:left w:val="none" w:sz="0" w:space="0" w:color="auto"/>
                <w:bottom w:val="none" w:sz="0" w:space="0" w:color="auto"/>
                <w:right w:val="none" w:sz="0" w:space="0" w:color="auto"/>
              </w:divBdr>
              <w:divsChild>
                <w:div w:id="1335953544">
                  <w:marLeft w:val="0"/>
                  <w:marRight w:val="0"/>
                  <w:marTop w:val="0"/>
                  <w:marBottom w:val="180"/>
                  <w:divBdr>
                    <w:top w:val="single" w:sz="6" w:space="0" w:color="D3E9FE"/>
                    <w:left w:val="single" w:sz="6" w:space="0" w:color="D3E9FE"/>
                    <w:bottom w:val="single" w:sz="6" w:space="5" w:color="D3E9FE"/>
                    <w:right w:val="single" w:sz="6" w:space="0" w:color="D3E9FE"/>
                  </w:divBdr>
                </w:div>
              </w:divsChild>
            </w:div>
          </w:divsChild>
        </w:div>
      </w:divsChild>
    </w:div>
    <w:div w:id="1034499622">
      <w:bodyDiv w:val="1"/>
      <w:marLeft w:val="0"/>
      <w:marRight w:val="0"/>
      <w:marTop w:val="0"/>
      <w:marBottom w:val="0"/>
      <w:divBdr>
        <w:top w:val="none" w:sz="0" w:space="0" w:color="auto"/>
        <w:left w:val="none" w:sz="0" w:space="0" w:color="auto"/>
        <w:bottom w:val="none" w:sz="0" w:space="0" w:color="auto"/>
        <w:right w:val="none" w:sz="0" w:space="0" w:color="auto"/>
      </w:divBdr>
      <w:divsChild>
        <w:div w:id="1683161533">
          <w:marLeft w:val="0"/>
          <w:marRight w:val="0"/>
          <w:marTop w:val="0"/>
          <w:marBottom w:val="0"/>
          <w:divBdr>
            <w:top w:val="none" w:sz="0" w:space="0" w:color="auto"/>
            <w:left w:val="none" w:sz="0" w:space="0" w:color="auto"/>
            <w:bottom w:val="none" w:sz="0" w:space="0" w:color="auto"/>
            <w:right w:val="none" w:sz="0" w:space="0" w:color="auto"/>
          </w:divBdr>
          <w:divsChild>
            <w:div w:id="647321979">
              <w:marLeft w:val="0"/>
              <w:marRight w:val="0"/>
              <w:marTop w:val="0"/>
              <w:marBottom w:val="0"/>
              <w:divBdr>
                <w:top w:val="single" w:sz="6" w:space="0" w:color="FFFFFF"/>
                <w:left w:val="none" w:sz="0" w:space="0" w:color="auto"/>
                <w:bottom w:val="none" w:sz="0" w:space="0" w:color="auto"/>
                <w:right w:val="none" w:sz="0" w:space="0" w:color="auto"/>
              </w:divBdr>
              <w:divsChild>
                <w:div w:id="1789932745">
                  <w:marLeft w:val="0"/>
                  <w:marRight w:val="0"/>
                  <w:marTop w:val="0"/>
                  <w:marBottom w:val="180"/>
                  <w:divBdr>
                    <w:top w:val="single" w:sz="6" w:space="0" w:color="D3E9FE"/>
                    <w:left w:val="single" w:sz="6" w:space="0" w:color="D3E9FE"/>
                    <w:bottom w:val="single" w:sz="6" w:space="5" w:color="D3E9FE"/>
                    <w:right w:val="single" w:sz="6" w:space="0" w:color="D3E9FE"/>
                  </w:divBdr>
                </w:div>
              </w:divsChild>
            </w:div>
          </w:divsChild>
        </w:div>
      </w:divsChild>
    </w:div>
    <w:div w:id="1193375064">
      <w:bodyDiv w:val="1"/>
      <w:marLeft w:val="0"/>
      <w:marRight w:val="0"/>
      <w:marTop w:val="0"/>
      <w:marBottom w:val="0"/>
      <w:divBdr>
        <w:top w:val="none" w:sz="0" w:space="0" w:color="auto"/>
        <w:left w:val="none" w:sz="0" w:space="0" w:color="auto"/>
        <w:bottom w:val="none" w:sz="0" w:space="0" w:color="auto"/>
        <w:right w:val="none" w:sz="0" w:space="0" w:color="auto"/>
      </w:divBdr>
    </w:div>
    <w:div w:id="1402144062">
      <w:bodyDiv w:val="1"/>
      <w:marLeft w:val="0"/>
      <w:marRight w:val="0"/>
      <w:marTop w:val="0"/>
      <w:marBottom w:val="0"/>
      <w:divBdr>
        <w:top w:val="none" w:sz="0" w:space="0" w:color="auto"/>
        <w:left w:val="none" w:sz="0" w:space="0" w:color="auto"/>
        <w:bottom w:val="none" w:sz="0" w:space="0" w:color="auto"/>
        <w:right w:val="none" w:sz="0" w:space="0" w:color="auto"/>
      </w:divBdr>
      <w:divsChild>
        <w:div w:id="1058284405">
          <w:marLeft w:val="0"/>
          <w:marRight w:val="0"/>
          <w:marTop w:val="0"/>
          <w:marBottom w:val="0"/>
          <w:divBdr>
            <w:top w:val="none" w:sz="0" w:space="0" w:color="auto"/>
            <w:left w:val="none" w:sz="0" w:space="0" w:color="auto"/>
            <w:bottom w:val="none" w:sz="0" w:space="0" w:color="auto"/>
            <w:right w:val="none" w:sz="0" w:space="0" w:color="auto"/>
          </w:divBdr>
          <w:divsChild>
            <w:div w:id="256139402">
              <w:marLeft w:val="0"/>
              <w:marRight w:val="0"/>
              <w:marTop w:val="0"/>
              <w:marBottom w:val="0"/>
              <w:divBdr>
                <w:top w:val="single" w:sz="6" w:space="0" w:color="FFFFFF"/>
                <w:left w:val="none" w:sz="0" w:space="0" w:color="auto"/>
                <w:bottom w:val="none" w:sz="0" w:space="0" w:color="auto"/>
                <w:right w:val="none" w:sz="0" w:space="0" w:color="auto"/>
              </w:divBdr>
              <w:divsChild>
                <w:div w:id="1446734826">
                  <w:marLeft w:val="0"/>
                  <w:marRight w:val="0"/>
                  <w:marTop w:val="0"/>
                  <w:marBottom w:val="180"/>
                  <w:divBdr>
                    <w:top w:val="single" w:sz="6" w:space="0" w:color="D3E9FE"/>
                    <w:left w:val="single" w:sz="6" w:space="0" w:color="D3E9FE"/>
                    <w:bottom w:val="single" w:sz="6" w:space="5" w:color="D3E9FE"/>
                    <w:right w:val="single" w:sz="6" w:space="0" w:color="D3E9FE"/>
                  </w:divBdr>
                </w:div>
              </w:divsChild>
            </w:div>
          </w:divsChild>
        </w:div>
      </w:divsChild>
    </w:div>
    <w:div w:id="2000453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8D49EB-EB2E-4A8B-84AA-AE5D1F081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1092</Words>
  <Characters>6910</Characters>
  <Application>Microsoft Office Word</Application>
  <DocSecurity>0</DocSecurity>
  <Lines>57</Lines>
  <Paragraphs>15</Paragraphs>
  <ScaleCrop>false</ScaleCrop>
  <HeadingPairs>
    <vt:vector size="2" baseType="variant">
      <vt:variant>
        <vt:lpstr>Název</vt:lpstr>
      </vt:variant>
      <vt:variant>
        <vt:i4>1</vt:i4>
      </vt:variant>
    </vt:vector>
  </HeadingPairs>
  <TitlesOfParts>
    <vt:vector size="1" baseType="lpstr">
      <vt:lpstr>Podklady pro výběrové řízení</vt:lpstr>
    </vt:vector>
  </TitlesOfParts>
  <Company>HP</Company>
  <LinksUpToDate>false</LinksUpToDate>
  <CharactersWithSpaces>7987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Podklady pro výběrové řízení</dc:title>
  <dc:creator>Mgr. Jan Klimša</dc:creator>
  <cp:lastModifiedBy>Kolarčíková Eva, Ing.</cp:lastModifiedBy>
  <cp:revision>3</cp:revision>
  <cp:lastPrinted>2017-03-14T11:49:00Z</cp:lastPrinted>
  <dcterms:created xsi:type="dcterms:W3CDTF">2022-09-08T10:50:00Z</dcterms:created>
  <dcterms:modified xsi:type="dcterms:W3CDTF">2022-09-09T05:49:00Z</dcterms:modified>
</cp:coreProperties>
</file>